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Style w:val="7"/>
          <w:rFonts w:hint="eastAsia" w:ascii="仿宋" w:hAnsi="仿宋" w:eastAsia="仿宋" w:cs="仿宋"/>
          <w:color w:val="666666"/>
          <w:kern w:val="0"/>
          <w:sz w:val="32"/>
          <w:szCs w:val="32"/>
          <w:shd w:val="clear" w:color="auto" w:fill="FFFFFF"/>
          <w:lang w:eastAsia="zh-CN"/>
        </w:rPr>
      </w:pP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w:t>
      </w:r>
      <w:r>
        <w:rPr>
          <w:rStyle w:val="7"/>
          <w:rFonts w:hint="eastAsia" w:ascii="仿宋" w:hAnsi="仿宋" w:eastAsia="仿宋" w:cs="仿宋"/>
          <w:color w:val="666666"/>
          <w:kern w:val="0"/>
          <w:sz w:val="32"/>
          <w:szCs w:val="32"/>
          <w:shd w:val="clear" w:color="auto" w:fill="FFFFFF"/>
          <w:lang w:eastAsia="zh-CN"/>
        </w:rPr>
        <w:t>罗山县委统战部</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部门预算公开</w:t>
      </w:r>
    </w:p>
    <w:p>
      <w:pPr>
        <w:widowControl/>
        <w:shd w:val="clear" w:color="auto" w:fill="FFFFFF"/>
        <w:spacing w:before="300" w:line="420" w:lineRule="atLeast"/>
        <w:rPr>
          <w:rFonts w:hint="eastAsia" w:ascii="仿宋" w:hAnsi="仿宋" w:eastAsia="仿宋" w:cs="仿宋"/>
          <w:color w:val="666666"/>
          <w:sz w:val="32"/>
          <w:szCs w:val="32"/>
        </w:rPr>
      </w:pPr>
      <w:r>
        <w:rPr>
          <w:rFonts w:hint="eastAsia" w:ascii="仿宋" w:hAnsi="仿宋" w:eastAsia="仿宋" w:cs="仿宋"/>
          <w:color w:val="666666"/>
          <w:kern w:val="0"/>
          <w:sz w:val="32"/>
          <w:szCs w:val="32"/>
          <w:shd w:val="clear" w:color="auto" w:fill="FFFFFF"/>
        </w:rPr>
        <w:t> </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目 录</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第一部分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概况 </w:t>
      </w:r>
    </w:p>
    <w:p>
      <w:pPr>
        <w:widowControl/>
        <w:shd w:val="clear" w:color="auto" w:fill="FFFFFF"/>
        <w:spacing w:line="420" w:lineRule="atLeast"/>
        <w:jc w:val="center"/>
        <w:rPr>
          <w:rFonts w:hint="eastAsia" w:ascii="仿宋" w:hAnsi="仿宋" w:eastAsia="仿宋" w:cs="仿宋"/>
          <w:color w:val="666666"/>
          <w:sz w:val="32"/>
          <w:szCs w:val="32"/>
        </w:rPr>
      </w:pPr>
      <w:r>
        <w:rPr>
          <w:rFonts w:hint="eastAsia" w:ascii="仿宋" w:hAnsi="仿宋" w:eastAsia="仿宋" w:cs="仿宋"/>
          <w:color w:val="666666"/>
          <w:kern w:val="0"/>
          <w:sz w:val="32"/>
          <w:szCs w:val="32"/>
          <w:shd w:val="clear" w:color="auto" w:fill="FFFFFF"/>
        </w:rPr>
        <w:t>一、主要职能</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二、机构设置</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三、部门预算单位构成</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第二部分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年度部门预算情况说明 </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第三部分 名词解释</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附件：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一、部门收支总体情况表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二、部门收入总体情况表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三、部门支出总体情况表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四、财政拨款收支总体情况表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五、一般公共预算支出情况表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六、一般公共预算基本支出情况表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七、一般公共预算“三公”经费支出情况表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八、政府性基金预算支出情况表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九、部门（单位）整体绩效目标表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 </w:t>
      </w:r>
    </w:p>
    <w:p>
      <w:pPr>
        <w:widowControl/>
        <w:spacing w:before="300"/>
        <w:jc w:val="left"/>
        <w:rPr>
          <w:rFonts w:hint="eastAsia" w:ascii="仿宋" w:hAnsi="仿宋" w:eastAsia="仿宋" w:cs="仿宋"/>
          <w:sz w:val="32"/>
          <w:szCs w:val="32"/>
        </w:rPr>
      </w:pPr>
      <w:r>
        <w:rPr>
          <w:rFonts w:hint="eastAsia" w:ascii="仿宋" w:hAnsi="仿宋" w:eastAsia="仿宋" w:cs="仿宋"/>
          <w:color w:val="666666"/>
          <w:kern w:val="0"/>
          <w:sz w:val="32"/>
          <w:szCs w:val="32"/>
          <w:shd w:val="clear" w:color="auto" w:fill="FFFFFF"/>
        </w:rPr>
        <w:t> </w:t>
      </w:r>
    </w:p>
    <w:p>
      <w:pPr>
        <w:widowControl/>
        <w:shd w:val="clear" w:color="auto" w:fill="FFFFFF"/>
        <w:spacing w:line="420" w:lineRule="atLeast"/>
        <w:jc w:val="center"/>
        <w:rPr>
          <w:rFonts w:hint="eastAsia" w:ascii="仿宋" w:hAnsi="仿宋" w:eastAsia="仿宋" w:cs="仿宋"/>
          <w:b/>
          <w:bCs w:val="0"/>
          <w:color w:val="666666"/>
          <w:sz w:val="32"/>
          <w:szCs w:val="32"/>
        </w:rPr>
      </w:pPr>
      <w:r>
        <w:rPr>
          <w:rStyle w:val="7"/>
          <w:rFonts w:hint="eastAsia" w:ascii="仿宋" w:hAnsi="仿宋" w:eastAsia="仿宋" w:cs="仿宋"/>
          <w:b/>
          <w:bCs w:val="0"/>
          <w:color w:val="666666"/>
          <w:kern w:val="0"/>
          <w:sz w:val="32"/>
          <w:szCs w:val="32"/>
          <w:shd w:val="clear" w:color="auto" w:fill="FFFFFF"/>
        </w:rPr>
        <w:t>第一部分</w:t>
      </w:r>
      <w:r>
        <w:rPr>
          <w:rStyle w:val="7"/>
          <w:rFonts w:hint="eastAsia" w:ascii="仿宋" w:hAnsi="仿宋" w:eastAsia="仿宋" w:cs="仿宋"/>
          <w:b/>
          <w:bCs w:val="0"/>
          <w:color w:val="666666"/>
          <w:kern w:val="0"/>
          <w:sz w:val="32"/>
          <w:szCs w:val="32"/>
          <w:shd w:val="clear" w:color="auto" w:fill="FFFFFF"/>
        </w:rPr>
        <w:br w:type="textWrapping"/>
      </w:r>
      <w:r>
        <w:rPr>
          <w:rStyle w:val="7"/>
          <w:rFonts w:hint="eastAsia" w:ascii="仿宋" w:hAnsi="仿宋" w:eastAsia="仿宋" w:cs="仿宋"/>
          <w:b/>
          <w:bCs w:val="0"/>
          <w:color w:val="666666"/>
          <w:kern w:val="0"/>
          <w:sz w:val="32"/>
          <w:szCs w:val="32"/>
          <w:shd w:val="clear" w:color="auto" w:fill="FFFFFF"/>
          <w:lang w:eastAsia="zh-CN"/>
        </w:rPr>
        <w:t>罗山县委统战部</w:t>
      </w:r>
      <w:r>
        <w:rPr>
          <w:rStyle w:val="7"/>
          <w:rFonts w:hint="eastAsia" w:ascii="仿宋" w:hAnsi="仿宋" w:eastAsia="仿宋" w:cs="仿宋"/>
          <w:b/>
          <w:bCs w:val="0"/>
          <w:color w:val="666666"/>
          <w:kern w:val="0"/>
          <w:sz w:val="32"/>
          <w:szCs w:val="32"/>
          <w:shd w:val="clear" w:color="auto" w:fill="FFFFFF"/>
        </w:rPr>
        <w:t>概况</w:t>
      </w:r>
    </w:p>
    <w:p>
      <w:pPr>
        <w:widowControl/>
        <w:spacing w:before="300"/>
        <w:ind w:left="640" w:hanging="640" w:hangingChars="200"/>
        <w:jc w:val="left"/>
        <w:rPr>
          <w:rStyle w:val="7"/>
          <w:rFonts w:hint="eastAsia" w:ascii="仿宋" w:hAnsi="仿宋" w:eastAsia="仿宋" w:cs="仿宋"/>
          <w:color w:val="666666"/>
          <w:kern w:val="0"/>
          <w:sz w:val="32"/>
          <w:szCs w:val="32"/>
          <w:shd w:val="clear" w:color="auto" w:fill="FFFFFF"/>
        </w:rPr>
      </w:pPr>
      <w:r>
        <w:rPr>
          <w:rFonts w:hint="eastAsia" w:ascii="仿宋" w:hAnsi="仿宋" w:eastAsia="仿宋" w:cs="仿宋"/>
          <w:color w:val="666666"/>
          <w:kern w:val="0"/>
          <w:sz w:val="32"/>
          <w:szCs w:val="32"/>
          <w:shd w:val="clear" w:color="auto" w:fill="FFFFFF"/>
        </w:rPr>
        <w:t> </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一、</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主要职责</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贯彻落实党对统一战线工作集中统一领导的要求，是县委统战工作的参谋机构、组织协调机构、具体执行机构、督促检查机构。贯彻落实党中央、省委、市委和县委关于统一战线工作的决策部署，了解情况、掌握政策、协调关系、安排人事、增进共识、加强团结，协调统一战线各方面关系，巩固壮大最广泛的统一战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（二）研究拟订全县统一战线工作的政策和规范性文件并推动落实。深入调查研究，及时向县委报告统一战线情况并提出意见建议。统筹协调和指导全县各部门各单位统一战线工作。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（三）贯彻落实党的宣传工作方针，统筹推动全县统一战线宣传工作，拟订全县统一战线宣传工作政策和规划并组织实施，研判涉及统一战线的舆情并协调有关部门应对处置。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负责发现、培养党外代表人士，负责党外人士的政治安排，会同有关部门做好安排党外人士担任政府和司法机关等领导职务的工作，协助县工商联、县侨联做好干部管理工作，反映和协调解决党外代表人士工作生活中的实际困难。</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五）贯彻落实民族宗教工作方针政策。研究拟订民族宗教工作的政策和重大措施。协调处理民族宗教工作中的重大问题，依法管理民族宗教事务，根据分工联系少数民族和宗教界代表人士，做好少数民族干部工作。引导各宗教坚持中国化方向，巩固和发展同宗教界的爱国统一战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六）参与拟定、推动落实全县鼓励支持引导非公有制经济发展政策，调查研究非公有制经济人士情况并提出政策建议，了解和反映非公有制经济人士的意见，团结、服务、引导、教育非公有制经济人士，促进非公有制经济健康发展和非公有制经济人士健康成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七）承担对台工作职责，开展对台统战工作。贯彻执行党中央、国务院对台方针政策和省委、市委、县委对台工作部署，研究拟订全县对台工作计划和实施意见。组织、指导、管理、协调全县对台工作，会同有关部门统筹协调和指导全县对台经贸、科技、文化、教育、体育、新闻等领域的交流合作。负责处理我县涉台重大事件，指导县工商联和其他社会团体有关重点人士、重点活动等方面的涉台工作。负责组织、协调来我县台湾各界人士的接待服务工作；完成上级交办的其他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八）统一管理涉港澳事务，开展港澳统战工作。贯彻落实香港、澳门地区统战方面的方针政策，拟订全县港澳统战工作政策和规划并推动落实，开展全县涉香港、澳门地区统战工作的调查研究，并提出意见建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九）负责联系、培养无党派代表人士，支持、帮助无党派人士加强自身建设、发挥作用。调查研究全县党外知识分子和新的社会阶层人士情况并提出政策性建议，联系、培养党外知识分子和新的社会阶层代表人士，开展思想政治工作，指导全县国有企业和社会组织开展党外知识分子和新的社会阶层人士统战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统一管理全县侨务工作，承担根亲文化工作。贯彻落实党的侨务工作的方针政策，负责拟订全县侨务工作政策并组织协调、督促检查落实，调查研究全县侨情和侨务工作情况，管理侨务行政事务。统筹协调有关部门和社会团体涉侨工作，联系海外有关侨团和代表人士，指导推动涉侨宣传、文化交流工作等，保护华侨和归侨侨眷在国内的合法权益和利益。加强与县外、市外，特别是香港、澳门、台湾、海外同胞中姓氏源于罗山的各界人士的联络联谊。举办根亲文化活动，进一步激发广大海外人士的民族认同。</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一）受县委委托，指导县侨联工作。领导县工商联党组，指导县工商联工作。管理县委台湾工作办公室（县政府台湾事务办公室）和县政府侨务办公室。管理县台湾同胞联谊会、罗山县党外知识分子联谊会。做好统一战线有关单位和团体的管理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（十二）完成县委交办的其他任务。</w:t>
      </w:r>
    </w:p>
    <w:p>
      <w:pPr>
        <w:tabs>
          <w:tab w:val="left" w:pos="8190"/>
        </w:tabs>
        <w:kinsoku w:val="0"/>
        <w:overflowPunct w:val="0"/>
        <w:adjustRightInd w:val="0"/>
        <w:snapToGrid w:val="0"/>
        <w:spacing w:line="360" w:lineRule="auto"/>
        <w:ind w:right="106" w:rightChars="0" w:firstLine="640"/>
        <w:jc w:val="left"/>
        <w:outlineLvl w:val="0"/>
        <w:rPr>
          <w:rStyle w:val="7"/>
          <w:rFonts w:hint="eastAsia" w:ascii="仿宋" w:hAnsi="仿宋" w:eastAsia="仿宋" w:cs="仿宋"/>
          <w:color w:val="666666"/>
          <w:kern w:val="0"/>
          <w:sz w:val="32"/>
          <w:szCs w:val="32"/>
          <w:shd w:val="clear" w:color="auto" w:fill="FFFFFF"/>
        </w:rPr>
      </w:pPr>
      <w:r>
        <w:rPr>
          <w:rFonts w:hint="eastAsia" w:ascii="仿宋" w:hAnsi="仿宋" w:eastAsia="仿宋" w:cs="仿宋"/>
          <w:sz w:val="32"/>
          <w:szCs w:val="32"/>
          <w:lang w:val="en-US" w:eastAsia="zh-CN"/>
        </w:rPr>
        <w:t>　</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机构设置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一）办公室。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（二）民族宗教事务工作室。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（三）非公有制经济工作室。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（四）对台工作室（港澳工作室）。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（五）无党派人士和党外知识分子工作</w:t>
      </w:r>
      <w:r>
        <w:rPr>
          <w:rFonts w:hint="eastAsia" w:ascii="仿宋" w:hAnsi="仿宋" w:eastAsia="仿宋" w:cs="仿宋"/>
          <w:sz w:val="32"/>
          <w:szCs w:val="32"/>
          <w:lang w:eastAsia="zh-CN"/>
        </w:rPr>
        <w:t>室</w:t>
      </w:r>
      <w:r>
        <w:rPr>
          <w:rFonts w:hint="eastAsia" w:ascii="仿宋" w:hAnsi="仿宋" w:eastAsia="仿宋" w:cs="仿宋"/>
          <w:sz w:val="32"/>
          <w:szCs w:val="32"/>
        </w:rPr>
        <w:t>（新的社会阶层人士统战工作</w:t>
      </w:r>
      <w:r>
        <w:rPr>
          <w:rFonts w:hint="eastAsia" w:ascii="仿宋" w:hAnsi="仿宋" w:eastAsia="仿宋" w:cs="仿宋"/>
          <w:sz w:val="32"/>
          <w:szCs w:val="32"/>
          <w:lang w:eastAsia="zh-CN"/>
        </w:rPr>
        <w:t>室</w:t>
      </w:r>
      <w:r>
        <w:rPr>
          <w:rFonts w:hint="eastAsia" w:ascii="仿宋" w:hAnsi="仿宋" w:eastAsia="仿宋" w:cs="仿宋"/>
          <w:sz w:val="32"/>
          <w:szCs w:val="32"/>
        </w:rPr>
        <w:t>）。</w:t>
      </w:r>
    </w:p>
    <w:p>
      <w:pPr>
        <w:spacing w:line="600" w:lineRule="exact"/>
        <w:ind w:firstLine="645"/>
        <w:rPr>
          <w:rStyle w:val="7"/>
          <w:rFonts w:hint="eastAsia" w:ascii="仿宋" w:hAnsi="仿宋" w:eastAsia="仿宋" w:cs="仿宋"/>
          <w:color w:val="666666"/>
          <w:kern w:val="0"/>
          <w:sz w:val="32"/>
          <w:szCs w:val="32"/>
          <w:shd w:val="clear" w:color="auto" w:fill="FFFFFF"/>
        </w:rPr>
      </w:pPr>
      <w:r>
        <w:rPr>
          <w:rFonts w:hint="eastAsia" w:ascii="仿宋" w:hAnsi="仿宋" w:eastAsia="仿宋" w:cs="仿宋"/>
          <w:sz w:val="32"/>
          <w:szCs w:val="32"/>
        </w:rPr>
        <w:t>（六）侨务工作室（根亲文化工作室）。</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预算单位构成</w:t>
      </w:r>
    </w:p>
    <w:p>
      <w:pPr>
        <w:pStyle w:val="4"/>
        <w:snapToGrid w:val="0"/>
        <w:spacing w:line="52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罗山县委统战部</w:t>
      </w:r>
      <w:r>
        <w:rPr>
          <w:rFonts w:hint="eastAsia" w:ascii="仿宋" w:hAnsi="仿宋" w:eastAsia="仿宋" w:cs="仿宋"/>
          <w:color w:val="333333"/>
          <w:sz w:val="32"/>
          <w:szCs w:val="32"/>
        </w:rPr>
        <w:t>为一级预算单位。</w:t>
      </w:r>
    </w:p>
    <w:p>
      <w:pPr>
        <w:pStyle w:val="4"/>
        <w:snapToGrid w:val="0"/>
        <w:spacing w:line="52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从预算单位构成看，</w:t>
      </w:r>
      <w:r>
        <w:rPr>
          <w:rFonts w:hint="eastAsia" w:ascii="仿宋" w:hAnsi="仿宋" w:eastAsia="仿宋" w:cs="仿宋"/>
          <w:color w:val="333333"/>
          <w:sz w:val="32"/>
          <w:szCs w:val="32"/>
          <w:lang w:eastAsia="zh-CN"/>
        </w:rPr>
        <w:t>罗山</w:t>
      </w:r>
      <w:r>
        <w:rPr>
          <w:rFonts w:hint="eastAsia" w:ascii="仿宋" w:hAnsi="仿宋" w:eastAsia="仿宋" w:cs="仿宋"/>
          <w:color w:val="333333"/>
          <w:sz w:val="32"/>
          <w:szCs w:val="32"/>
        </w:rPr>
        <w:t>县</w:t>
      </w:r>
      <w:r>
        <w:rPr>
          <w:rFonts w:hint="eastAsia" w:ascii="仿宋" w:hAnsi="仿宋" w:eastAsia="仿宋" w:cs="仿宋"/>
          <w:color w:val="333333"/>
          <w:sz w:val="32"/>
          <w:szCs w:val="32"/>
          <w:lang w:eastAsia="zh-CN"/>
        </w:rPr>
        <w:t>委统战部</w:t>
      </w:r>
      <w:r>
        <w:rPr>
          <w:rFonts w:hint="eastAsia" w:ascii="仿宋" w:hAnsi="仿宋" w:eastAsia="仿宋" w:cs="仿宋"/>
          <w:color w:val="333333"/>
          <w:sz w:val="32"/>
          <w:szCs w:val="32"/>
        </w:rPr>
        <w:t>部门预算包括：本级预算。</w:t>
      </w:r>
    </w:p>
    <w:p>
      <w:pPr>
        <w:pStyle w:val="4"/>
        <w:snapToGrid w:val="0"/>
        <w:spacing w:line="520" w:lineRule="exact"/>
        <w:ind w:firstLine="640" w:firstLineChars="200"/>
        <w:rPr>
          <w:rStyle w:val="7"/>
          <w:rFonts w:hint="eastAsia" w:ascii="仿宋" w:hAnsi="仿宋" w:eastAsia="仿宋" w:cs="仿宋"/>
          <w:color w:val="666666"/>
          <w:kern w:val="0"/>
          <w:sz w:val="32"/>
          <w:szCs w:val="32"/>
          <w:shd w:val="clear" w:color="auto" w:fill="FFFFFF"/>
        </w:rPr>
      </w:pPr>
      <w:r>
        <w:rPr>
          <w:rFonts w:hint="eastAsia" w:ascii="仿宋" w:hAnsi="仿宋" w:eastAsia="仿宋" w:cs="仿宋"/>
          <w:color w:val="333333"/>
          <w:sz w:val="32"/>
          <w:szCs w:val="32"/>
        </w:rPr>
        <w:t>本预算为汇总预算，纳入本部门20</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年度部门</w:t>
      </w:r>
      <w:r>
        <w:rPr>
          <w:rFonts w:hint="eastAsia" w:ascii="仿宋" w:hAnsi="仿宋" w:eastAsia="仿宋" w:cs="仿宋"/>
          <w:color w:val="333333"/>
          <w:sz w:val="32"/>
          <w:szCs w:val="32"/>
          <w:lang w:eastAsia="zh-CN"/>
        </w:rPr>
        <w:t>预</w:t>
      </w:r>
      <w:r>
        <w:rPr>
          <w:rFonts w:hint="eastAsia" w:ascii="仿宋" w:hAnsi="仿宋" w:eastAsia="仿宋" w:cs="仿宋"/>
          <w:color w:val="333333"/>
          <w:sz w:val="32"/>
          <w:szCs w:val="32"/>
        </w:rPr>
        <w:t>算编报范围的预算单位包括</w:t>
      </w:r>
      <w:r>
        <w:rPr>
          <w:rFonts w:hint="eastAsia" w:ascii="仿宋" w:hAnsi="仿宋" w:eastAsia="仿宋" w:cs="仿宋"/>
          <w:color w:val="333333"/>
          <w:sz w:val="32"/>
          <w:szCs w:val="32"/>
          <w:lang w:eastAsia="zh-CN"/>
        </w:rPr>
        <w:t>县委统战部</w:t>
      </w:r>
      <w:r>
        <w:rPr>
          <w:rFonts w:hint="eastAsia" w:ascii="仿宋" w:hAnsi="仿宋" w:eastAsia="仿宋" w:cs="仿宋"/>
          <w:color w:val="333333"/>
          <w:sz w:val="32"/>
          <w:szCs w:val="32"/>
        </w:rPr>
        <w:t>本级、所属0个二级单位</w:t>
      </w:r>
      <w:r>
        <w:rPr>
          <w:rFonts w:hint="eastAsia" w:ascii="仿宋" w:hAnsi="仿宋" w:eastAsia="仿宋" w:cs="仿宋"/>
          <w:color w:val="333333"/>
          <w:sz w:val="32"/>
          <w:szCs w:val="32"/>
          <w:lang w:eastAsia="zh-CN"/>
        </w:rPr>
        <w:t>。</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lang w:eastAsia="zh-CN"/>
        </w:rPr>
        <w:t>　　　　　　　　　　　</w:t>
      </w:r>
    </w:p>
    <w:p>
      <w:pPr>
        <w:pStyle w:val="4"/>
        <w:snapToGrid w:val="0"/>
        <w:spacing w:line="520" w:lineRule="exact"/>
        <w:ind w:firstLine="643" w:firstLineChars="200"/>
        <w:jc w:val="center"/>
        <w:rPr>
          <w:rStyle w:val="7"/>
          <w:rFonts w:hint="eastAsia" w:ascii="仿宋" w:hAnsi="仿宋" w:eastAsia="仿宋" w:cs="仿宋"/>
          <w:color w:val="666666"/>
          <w:kern w:val="0"/>
          <w:sz w:val="32"/>
          <w:szCs w:val="32"/>
          <w:shd w:val="clear" w:color="auto" w:fill="FFFFFF"/>
        </w:rPr>
      </w:pPr>
    </w:p>
    <w:p>
      <w:pPr>
        <w:pStyle w:val="4"/>
        <w:snapToGrid w:val="0"/>
        <w:spacing w:line="520" w:lineRule="exact"/>
        <w:ind w:firstLine="643" w:firstLineChars="200"/>
        <w:jc w:val="center"/>
        <w:rPr>
          <w:rStyle w:val="7"/>
          <w:rFonts w:hint="eastAsia" w:ascii="仿宋" w:hAnsi="仿宋" w:eastAsia="仿宋" w:cs="仿宋"/>
          <w:color w:val="666666"/>
          <w:kern w:val="0"/>
          <w:sz w:val="32"/>
          <w:szCs w:val="32"/>
          <w:shd w:val="clear" w:color="auto" w:fill="FFFFFF"/>
        </w:rPr>
      </w:pPr>
      <w:r>
        <w:rPr>
          <w:rStyle w:val="7"/>
          <w:rFonts w:hint="eastAsia" w:ascii="仿宋" w:hAnsi="仿宋" w:eastAsia="仿宋" w:cs="仿宋"/>
          <w:color w:val="666666"/>
          <w:kern w:val="0"/>
          <w:sz w:val="32"/>
          <w:szCs w:val="32"/>
          <w:shd w:val="clear" w:color="auto" w:fill="FFFFFF"/>
        </w:rPr>
        <w:t>第二部分</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lang w:eastAsia="zh-CN"/>
        </w:rPr>
        <w:t>　　　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年度部门预算情况说明</w:t>
      </w:r>
    </w:p>
    <w:p>
      <w:pPr>
        <w:pStyle w:val="4"/>
        <w:snapToGrid w:val="0"/>
        <w:spacing w:line="520" w:lineRule="exact"/>
        <w:ind w:firstLine="643" w:firstLineChars="200"/>
        <w:jc w:val="left"/>
        <w:rPr>
          <w:rStyle w:val="7"/>
          <w:rFonts w:hint="eastAsia" w:ascii="仿宋" w:hAnsi="仿宋" w:eastAsia="仿宋" w:cs="仿宋"/>
          <w:color w:val="666666"/>
          <w:kern w:val="0"/>
          <w:sz w:val="32"/>
          <w:szCs w:val="32"/>
          <w:shd w:val="clear" w:color="auto" w:fill="FFFFFF"/>
        </w:rPr>
      </w:pPr>
    </w:p>
    <w:p>
      <w:pPr>
        <w:pStyle w:val="4"/>
        <w:snapToGrid w:val="0"/>
        <w:spacing w:line="520" w:lineRule="exact"/>
        <w:ind w:firstLine="643" w:firstLineChars="200"/>
        <w:jc w:val="left"/>
        <w:rPr>
          <w:rFonts w:hint="eastAsia" w:ascii="仿宋" w:hAnsi="仿宋" w:eastAsia="仿宋" w:cs="仿宋"/>
          <w:color w:val="666666"/>
          <w:kern w:val="0"/>
          <w:sz w:val="32"/>
          <w:szCs w:val="32"/>
          <w:shd w:val="clear" w:color="auto" w:fill="FFFFFF"/>
          <w:lang w:eastAsia="zh-CN"/>
        </w:rPr>
      </w:pPr>
      <w:r>
        <w:rPr>
          <w:rStyle w:val="7"/>
          <w:rFonts w:hint="eastAsia" w:ascii="仿宋" w:hAnsi="仿宋" w:eastAsia="仿宋" w:cs="仿宋"/>
          <w:color w:val="666666"/>
          <w:kern w:val="0"/>
          <w:sz w:val="32"/>
          <w:szCs w:val="32"/>
          <w:shd w:val="clear" w:color="auto" w:fill="FFFFFF"/>
        </w:rPr>
        <w:t>一、收入支出预算总体情况说明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年收入总计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万元，支出总计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年预算相比，收入增加</w:t>
      </w:r>
      <w:r>
        <w:rPr>
          <w:rFonts w:hint="eastAsia" w:ascii="仿宋" w:hAnsi="仿宋" w:eastAsia="仿宋" w:cs="仿宋"/>
          <w:color w:val="666666"/>
          <w:kern w:val="0"/>
          <w:sz w:val="32"/>
          <w:szCs w:val="32"/>
          <w:shd w:val="clear" w:color="auto" w:fill="FFFFFF"/>
          <w:lang w:val="en-US" w:eastAsia="zh-CN"/>
        </w:rPr>
        <w:t>41.31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%。主要原因：人员增加，经费增加;支出增加</w:t>
      </w:r>
      <w:r>
        <w:rPr>
          <w:rFonts w:hint="eastAsia" w:ascii="仿宋" w:hAnsi="仿宋" w:eastAsia="仿宋" w:cs="仿宋"/>
          <w:color w:val="666666"/>
          <w:kern w:val="0"/>
          <w:sz w:val="32"/>
          <w:szCs w:val="32"/>
          <w:shd w:val="clear" w:color="auto" w:fill="FFFFFF"/>
          <w:lang w:val="en-US" w:eastAsia="zh-CN"/>
        </w:rPr>
        <w:t>41.31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二、收入预算总体情况说明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年收入合计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万元，其中：一般公共预算</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 政府性基金收入0万元；专户管理的教育收费0万元。</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年支出合计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万元，其中：基本支出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万元，占</w:t>
      </w:r>
      <w:r>
        <w:rPr>
          <w:rFonts w:hint="eastAsia" w:ascii="仿宋" w:hAnsi="仿宋" w:eastAsia="仿宋" w:cs="仿宋"/>
          <w:color w:val="666666"/>
          <w:kern w:val="0"/>
          <w:sz w:val="32"/>
          <w:szCs w:val="32"/>
          <w:shd w:val="clear" w:color="auto" w:fill="FFFFFF"/>
          <w:lang w:val="en-US" w:eastAsia="zh-CN"/>
        </w:rPr>
        <w:t>100</w:t>
      </w:r>
      <w:r>
        <w:rPr>
          <w:rFonts w:hint="eastAsia" w:ascii="仿宋" w:hAnsi="仿宋" w:eastAsia="仿宋" w:cs="仿宋"/>
          <w:color w:val="666666"/>
          <w:kern w:val="0"/>
          <w:sz w:val="32"/>
          <w:szCs w:val="32"/>
          <w:shd w:val="clear" w:color="auto" w:fill="FFFFFF"/>
        </w:rPr>
        <w:t>%；项目支出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万元，占</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四、财政拨款收入支出预算总体情况说明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年一般公共预算收支预算</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万元，政府性基金收支预算0万元。与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年相比，一般公共预算收支预算各增加4</w:t>
      </w:r>
      <w:r>
        <w:rPr>
          <w:rFonts w:hint="eastAsia" w:ascii="仿宋" w:hAnsi="仿宋" w:eastAsia="仿宋" w:cs="仿宋"/>
          <w:color w:val="666666"/>
          <w:kern w:val="0"/>
          <w:sz w:val="32"/>
          <w:szCs w:val="32"/>
          <w:shd w:val="clear" w:color="auto" w:fill="FFFFFF"/>
          <w:lang w:val="en-US" w:eastAsia="zh-CN"/>
        </w:rPr>
        <w:t>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%，主要原因：人员增加，经费增加；政府性基金收支预算增加0万元，与202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五、一般公共预算支出预算情况说明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年一般公共预算支出年初预算为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万元。主要用于以下方面：人员工资及商品服务支出</w:t>
      </w:r>
      <w:r>
        <w:rPr>
          <w:rFonts w:hint="eastAsia" w:ascii="仿宋" w:hAnsi="仿宋" w:eastAsia="仿宋" w:cs="仿宋"/>
          <w:color w:val="666666"/>
          <w:kern w:val="0"/>
          <w:sz w:val="32"/>
          <w:szCs w:val="32"/>
          <w:shd w:val="clear" w:color="auto" w:fill="FFFFFF"/>
          <w:lang w:val="en-US" w:eastAsia="zh-CN"/>
        </w:rPr>
        <w:t>214.18</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94.08</w:t>
      </w:r>
      <w:r>
        <w:rPr>
          <w:rFonts w:hint="eastAsia" w:ascii="仿宋" w:hAnsi="仿宋" w:eastAsia="仿宋" w:cs="仿宋"/>
          <w:color w:val="666666"/>
          <w:kern w:val="0"/>
          <w:sz w:val="32"/>
          <w:szCs w:val="32"/>
          <w:shd w:val="clear" w:color="auto" w:fill="FFFFFF"/>
        </w:rPr>
        <w:t>%；运转类项目支出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%；住房保障类支出1</w:t>
      </w:r>
      <w:r>
        <w:rPr>
          <w:rFonts w:hint="eastAsia" w:ascii="仿宋" w:hAnsi="仿宋" w:eastAsia="仿宋" w:cs="仿宋"/>
          <w:color w:val="666666"/>
          <w:kern w:val="0"/>
          <w:sz w:val="32"/>
          <w:szCs w:val="32"/>
          <w:shd w:val="clear" w:color="auto" w:fill="FFFFFF"/>
          <w:lang w:val="en-US" w:eastAsia="zh-CN"/>
        </w:rPr>
        <w:t>3.48</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5.92</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六、一般公共预算基本支出预算情况说明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年一般公共预算基本支出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万元，其中：人员经费</w:t>
      </w:r>
      <w:r>
        <w:rPr>
          <w:rFonts w:hint="eastAsia" w:ascii="仿宋" w:hAnsi="仿宋" w:eastAsia="仿宋" w:cs="仿宋"/>
          <w:color w:val="666666"/>
          <w:kern w:val="0"/>
          <w:sz w:val="32"/>
          <w:szCs w:val="32"/>
          <w:shd w:val="clear" w:color="auto" w:fill="FFFFFF"/>
          <w:lang w:val="en-US" w:eastAsia="zh-CN"/>
        </w:rPr>
        <w:t>212.75</w:t>
      </w:r>
      <w:r>
        <w:rPr>
          <w:rFonts w:hint="eastAsia" w:ascii="仿宋" w:hAnsi="仿宋" w:eastAsia="仿宋" w:cs="仿宋"/>
          <w:color w:val="666666"/>
          <w:kern w:val="0"/>
          <w:sz w:val="32"/>
          <w:szCs w:val="32"/>
          <w:shd w:val="clear" w:color="auto" w:fill="FFFFFF"/>
        </w:rPr>
        <w:t>万元，主要包括：基本工资、津贴补贴、奖金、社会保障缴费、绩效工资、离休费、退休费、遗属补助、住房公积金等；公用经费</w:t>
      </w:r>
      <w:r>
        <w:rPr>
          <w:rFonts w:hint="eastAsia" w:ascii="仿宋" w:hAnsi="仿宋" w:eastAsia="仿宋" w:cs="仿宋"/>
          <w:color w:val="666666"/>
          <w:kern w:val="0"/>
          <w:sz w:val="32"/>
          <w:szCs w:val="32"/>
          <w:shd w:val="clear" w:color="auto" w:fill="FFFFFF"/>
          <w:lang w:val="en-US" w:eastAsia="zh-CN"/>
        </w:rPr>
        <w:t>14.91</w:t>
      </w:r>
      <w:r>
        <w:rPr>
          <w:rFonts w:hint="eastAsia" w:ascii="仿宋" w:hAnsi="仿宋" w:eastAsia="仿宋" w:cs="仿宋"/>
          <w:color w:val="666666"/>
          <w:kern w:val="0"/>
          <w:sz w:val="32"/>
          <w:szCs w:val="32"/>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七、政府性基金预算支出预算情况说明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年无使用政府性基金预算拨款安排的支出。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八、 “三公”经费支出预算情况说明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年“三公”经费预算为</w:t>
      </w:r>
      <w:r>
        <w:rPr>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年“三公”经费支出预算数比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年减少</w:t>
      </w:r>
      <w:r>
        <w:rPr>
          <w:rFonts w:hint="eastAsia" w:ascii="仿宋" w:hAnsi="仿宋" w:eastAsia="仿宋" w:cs="仿宋"/>
          <w:color w:val="666666"/>
          <w:kern w:val="0"/>
          <w:sz w:val="32"/>
          <w:szCs w:val="32"/>
          <w:shd w:val="clear" w:color="auto" w:fill="FFFFFF"/>
          <w:lang w:val="en-US" w:eastAsia="zh-CN"/>
        </w:rPr>
        <w:t>0.1</w:t>
      </w:r>
      <w:r>
        <w:rPr>
          <w:rFonts w:hint="eastAsia" w:ascii="仿宋" w:hAnsi="仿宋" w:eastAsia="仿宋" w:cs="仿宋"/>
          <w:color w:val="666666"/>
          <w:kern w:val="0"/>
          <w:sz w:val="32"/>
          <w:szCs w:val="32"/>
          <w:shd w:val="clear" w:color="auto" w:fill="FFFFFF"/>
        </w:rPr>
        <w:t>万元。</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具体支出情况如下：</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（一）因公出国（境）费</w:t>
      </w:r>
      <w:r>
        <w:rPr>
          <w:rFonts w:hint="eastAsia" w:ascii="仿宋" w:hAnsi="仿宋" w:eastAsia="仿宋" w:cs="仿宋"/>
          <w:color w:val="666666"/>
          <w:kern w:val="0"/>
          <w:sz w:val="32"/>
          <w:szCs w:val="32"/>
          <w:shd w:val="clear" w:color="auto" w:fill="FFFFFF"/>
        </w:rPr>
        <w:t>0万元，主要用于单位工作人员公务出国（境）的住宿费、旅费、伙食补助费、杂费、培训费等支出。预算数比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（二）公务用车购置及运行费</w:t>
      </w:r>
      <w:r>
        <w:rPr>
          <w:rStyle w:val="7"/>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万元，其中，公务用车购置费0万元；公务用车运行维护费</w:t>
      </w:r>
      <w:r>
        <w:rPr>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万元，主要用于开展工作所需公务用车的燃料费、维修费、过路过桥费、保险费、安全奖励费用等支出。公务用车购置费预算数比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年相比无差异。公务用车运行维护费预算数比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w:t>
      </w:r>
      <w:r>
        <w:rPr>
          <w:rFonts w:hint="eastAsia" w:ascii="仿宋" w:hAnsi="仿宋" w:eastAsia="仿宋" w:cs="仿宋"/>
          <w:color w:val="666666"/>
          <w:kern w:val="0"/>
          <w:sz w:val="32"/>
          <w:szCs w:val="32"/>
          <w:shd w:val="clear" w:color="auto" w:fill="FFFFFF"/>
          <w:lang w:eastAsia="zh-CN"/>
        </w:rPr>
        <w:t>减少</w:t>
      </w:r>
      <w:r>
        <w:rPr>
          <w:rFonts w:hint="eastAsia" w:ascii="仿宋" w:hAnsi="仿宋" w:eastAsia="仿宋" w:cs="仿宋"/>
          <w:color w:val="666666"/>
          <w:kern w:val="0"/>
          <w:sz w:val="32"/>
          <w:szCs w:val="32"/>
          <w:shd w:val="clear" w:color="auto" w:fill="FFFFFF"/>
          <w:lang w:val="en-US" w:eastAsia="zh-CN"/>
        </w:rPr>
        <w:t>0.1</w:t>
      </w:r>
      <w:r>
        <w:rPr>
          <w:rFonts w:hint="eastAsia" w:ascii="仿宋" w:hAnsi="仿宋" w:eastAsia="仿宋" w:cs="仿宋"/>
          <w:color w:val="666666"/>
          <w:kern w:val="0"/>
          <w:sz w:val="32"/>
          <w:szCs w:val="32"/>
          <w:shd w:val="clear" w:color="auto" w:fill="FFFFFF"/>
        </w:rPr>
        <w:t>万元，主要原因：牢固树立过紧日子思想，按照本</w:t>
      </w:r>
      <w:r>
        <w:rPr>
          <w:rFonts w:hint="eastAsia" w:ascii="仿宋" w:hAnsi="仿宋" w:eastAsia="仿宋" w:cs="仿宋"/>
          <w:color w:val="666666"/>
          <w:kern w:val="0"/>
          <w:sz w:val="32"/>
          <w:szCs w:val="32"/>
          <w:shd w:val="clear" w:color="auto" w:fill="FFFFFF"/>
          <w:lang w:eastAsia="zh-CN"/>
        </w:rPr>
        <w:t>县</w:t>
      </w:r>
      <w:r>
        <w:rPr>
          <w:rFonts w:hint="eastAsia" w:ascii="仿宋" w:hAnsi="仿宋" w:eastAsia="仿宋" w:cs="仿宋"/>
          <w:color w:val="666666"/>
          <w:kern w:val="0"/>
          <w:sz w:val="32"/>
          <w:szCs w:val="32"/>
          <w:shd w:val="clear" w:color="auto" w:fill="FFFFFF"/>
        </w:rPr>
        <w:t>压减非急需非刚性资金支出要求，减少部分资金支出。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（三）公务接待费</w:t>
      </w:r>
      <w:r>
        <w:rPr>
          <w:rStyle w:val="7"/>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w:t>
      </w:r>
      <w:r>
        <w:rPr>
          <w:rFonts w:hint="eastAsia" w:ascii="仿宋" w:hAnsi="仿宋" w:eastAsia="仿宋" w:cs="仿宋"/>
          <w:color w:val="666666"/>
          <w:kern w:val="0"/>
          <w:sz w:val="32"/>
          <w:szCs w:val="32"/>
          <w:shd w:val="clear" w:color="auto" w:fill="FFFFFF"/>
          <w:lang w:eastAsia="zh-CN"/>
        </w:rPr>
        <w:t>公务接待由机关事务管理局负责安排。</w:t>
      </w:r>
    </w:p>
    <w:p>
      <w:pPr>
        <w:widowControl/>
        <w:numPr>
          <w:ilvl w:val="0"/>
          <w:numId w:val="0"/>
        </w:numPr>
        <w:spacing w:before="300"/>
        <w:ind w:firstLine="642"/>
        <w:jc w:val="left"/>
        <w:rPr>
          <w:rStyle w:val="7"/>
          <w:rFonts w:hint="eastAsia" w:ascii="仿宋" w:hAnsi="仿宋" w:eastAsia="仿宋" w:cs="仿宋"/>
          <w:color w:val="666666"/>
          <w:kern w:val="0"/>
          <w:sz w:val="13"/>
          <w:szCs w:val="13"/>
          <w:shd w:val="clear" w:color="auto" w:fill="FFFFFF"/>
        </w:rPr>
      </w:pPr>
      <w:r>
        <w:rPr>
          <w:rFonts w:hint="eastAsia" w:ascii="仿宋" w:hAnsi="仿宋" w:eastAsia="仿宋" w:cs="仿宋"/>
          <w:b/>
          <w:bCs/>
          <w:color w:val="666666"/>
          <w:kern w:val="0"/>
          <w:sz w:val="32"/>
          <w:szCs w:val="32"/>
          <w:shd w:val="clear" w:color="auto" w:fill="FFFFFF"/>
          <w:lang w:eastAsia="zh-CN"/>
        </w:rPr>
        <w:t>九、</w:t>
      </w:r>
      <w:r>
        <w:rPr>
          <w:rFonts w:hint="eastAsia" w:ascii="仿宋" w:hAnsi="仿宋" w:eastAsia="仿宋" w:cs="仿宋"/>
          <w:color w:val="666666"/>
          <w:kern w:val="0"/>
          <w:sz w:val="32"/>
          <w:szCs w:val="32"/>
          <w:shd w:val="clear" w:color="auto" w:fill="FFFFFF"/>
        </w:rPr>
        <w:t>其他重要事项情况说明（以下情况金额为0的，仍需进行情况说明）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（一）机关运行经费支出情况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年机关运行经费支出</w:t>
      </w:r>
      <w:bookmarkStart w:id="0" w:name="_GoBack"/>
      <w:bookmarkEnd w:id="0"/>
      <w:r>
        <w:rPr>
          <w:rFonts w:hint="eastAsia" w:ascii="仿宋" w:hAnsi="仿宋" w:eastAsia="仿宋" w:cs="仿宋"/>
          <w:color w:val="666666"/>
          <w:kern w:val="0"/>
          <w:sz w:val="32"/>
          <w:szCs w:val="32"/>
          <w:shd w:val="clear" w:color="auto" w:fill="FFFFFF"/>
        </w:rPr>
        <w:t>预算</w:t>
      </w:r>
      <w:r>
        <w:rPr>
          <w:rFonts w:hint="eastAsia" w:ascii="仿宋" w:hAnsi="仿宋" w:eastAsia="仿宋" w:cs="仿宋"/>
          <w:color w:val="666666"/>
          <w:kern w:val="0"/>
          <w:sz w:val="32"/>
          <w:szCs w:val="32"/>
          <w:shd w:val="clear" w:color="auto" w:fill="FFFFFF"/>
          <w:lang w:val="en-US" w:eastAsia="zh-CN"/>
        </w:rPr>
        <w:t>14.91</w:t>
      </w:r>
      <w:r>
        <w:rPr>
          <w:rFonts w:hint="eastAsia" w:ascii="仿宋" w:hAnsi="仿宋" w:eastAsia="仿宋" w:cs="仿宋"/>
          <w:color w:val="666666"/>
          <w:kern w:val="0"/>
          <w:sz w:val="32"/>
          <w:szCs w:val="32"/>
          <w:shd w:val="clear" w:color="auto" w:fill="FFFFFF"/>
        </w:rPr>
        <w:t>万元，主要保障机构正常运转及正常履职需要，完成预算年度主要工作任务需要。</w:t>
      </w:r>
      <w:r>
        <w:rPr>
          <w:rFonts w:hint="eastAsia" w:ascii="仿宋" w:hAnsi="仿宋" w:eastAsia="仿宋" w:cs="仿宋"/>
          <w:color w:val="666666"/>
          <w:kern w:val="0"/>
          <w:sz w:val="32"/>
          <w:szCs w:val="32"/>
          <w:shd w:val="clear" w:color="auto" w:fill="FFFFFF"/>
          <w:lang w:eastAsia="zh-CN"/>
        </w:rPr>
        <w:t>比</w:t>
      </w:r>
      <w:r>
        <w:rPr>
          <w:rFonts w:hint="eastAsia" w:ascii="仿宋" w:hAnsi="仿宋" w:eastAsia="仿宋" w:cs="仿宋"/>
          <w:color w:val="666666"/>
          <w:kern w:val="0"/>
          <w:sz w:val="32"/>
          <w:szCs w:val="32"/>
          <w:shd w:val="clear" w:color="auto" w:fill="FFFFFF"/>
          <w:lang w:val="en-US" w:eastAsia="zh-CN"/>
        </w:rPr>
        <w:t>2021年预算</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（二）政府采购支出情况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年政府采购预算支出</w:t>
      </w:r>
      <w:r>
        <w:rPr>
          <w:rFonts w:hint="eastAsia" w:ascii="仿宋" w:hAnsi="仿宋" w:eastAsia="仿宋" w:cs="仿宋"/>
          <w:color w:val="666666"/>
          <w:kern w:val="0"/>
          <w:sz w:val="32"/>
          <w:szCs w:val="32"/>
          <w:shd w:val="clear" w:color="auto" w:fill="FFFFFF"/>
          <w:lang w:eastAsia="zh-CN"/>
        </w:rPr>
        <w:t>总额为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（三）绩效目标设置情况</w:t>
      </w:r>
    </w:p>
    <w:p>
      <w:pPr>
        <w:widowControl/>
        <w:numPr>
          <w:ilvl w:val="0"/>
          <w:numId w:val="0"/>
        </w:numPr>
        <w:spacing w:before="300"/>
        <w:ind w:firstLine="960" w:firstLineChars="300"/>
        <w:jc w:val="left"/>
        <w:rPr>
          <w:rFonts w:hint="eastAsia" w:ascii="仿宋" w:hAnsi="仿宋" w:eastAsia="仿宋" w:cs="仿宋"/>
          <w:sz w:val="32"/>
          <w:szCs w:val="32"/>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年没有开展项目预算绩效评价。</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（四）国有资产占用情况。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年期末，我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共有车辆</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辆，其中：一般公务用车</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辆；单价50万元以上通用设备0台（套），单位价值100万元以上专用设备0台（套）。</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 </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第三部分</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名词解释</w:t>
      </w:r>
    </w:p>
    <w:p>
      <w:pPr>
        <w:widowControl/>
        <w:spacing w:before="300"/>
        <w:jc w:val="left"/>
      </w:pP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一、财政拨款收入：是指省级财政当年拨付的资金。</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二、事业收入：是指事业单位开展专业活动及辅助活动所取 得的收入。</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三、其他收入：是指部门取得的除“财政拨款”、“事业收入”、“事业单位经营收入”等以外的收入。</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五、基本支出：是指为保障机构正常运转、完成日常工作任务所必需的开支，其内容包括人员经费和日常公用经费两部分。</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六、项目支出：是指在基本支出之外，为完成特定的行政工作任务或事业发展目标所发生的支出。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 </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附件:</w:t>
      </w:r>
      <w:r>
        <w:rPr>
          <w:rFonts w:hint="eastAsia" w:ascii="仿宋" w:hAnsi="仿宋" w:eastAsia="仿宋" w:cs="仿宋"/>
          <w:color w:val="666666"/>
          <w:kern w:val="0"/>
          <w:sz w:val="32"/>
          <w:szCs w:val="32"/>
          <w:shd w:val="clear" w:color="auto" w:fill="FFFFFF"/>
        </w:rPr>
        <w:br w:type="textWrapping"/>
      </w:r>
      <w:r>
        <w:rPr>
          <w:rFonts w:hint="eastAsia" w:ascii="楷体" w:hAnsi="楷体" w:eastAsia="楷体" w:cs="楷体"/>
          <w:color w:val="666666"/>
          <w:kern w:val="0"/>
          <w:sz w:val="27"/>
          <w:szCs w:val="27"/>
          <w:shd w:val="clear" w:color="auto" w:fill="FFFFFF"/>
        </w:rPr>
        <w:t> </w:t>
      </w:r>
    </w:p>
    <w:tbl>
      <w:tblPr>
        <w:tblStyle w:val="5"/>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widowControl/>
              <w:spacing w:line="360" w:lineRule="atLeast"/>
              <w:jc w:val="left"/>
              <w:rPr>
                <w:rFonts w:ascii="微软雅黑" w:hAnsi="微软雅黑" w:eastAsia="微软雅黑" w:cs="微软雅黑"/>
                <w:color w:val="2E2E2E"/>
                <w:sz w:val="18"/>
                <w:szCs w:val="18"/>
              </w:rPr>
            </w:pPr>
            <w:r>
              <w:rPr>
                <w:rFonts w:hint="eastAsia" w:ascii="微软雅黑" w:hAnsi="微软雅黑" w:eastAsia="微软雅黑" w:cs="微软雅黑"/>
                <w:color w:val="6E6E6E"/>
                <w:sz w:val="18"/>
                <w:szCs w:val="18"/>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widowControl/>
              <w:spacing w:line="360" w:lineRule="atLeast"/>
              <w:jc w:val="left"/>
              <w:rPr>
                <w:rFonts w:ascii="微软雅黑" w:hAnsi="微软雅黑" w:eastAsia="微软雅黑" w:cs="微软雅黑"/>
                <w:color w:val="2E2E2E"/>
                <w:sz w:val="18"/>
                <w:szCs w:val="18"/>
              </w:rPr>
            </w:pPr>
            <w:r>
              <w:fldChar w:fldCharType="begin"/>
            </w:r>
            <w:r>
              <w:instrText xml:space="preserve"> HYPERLINK "http://czj.xinyang.gov.cn/uploads/soft/210707/6-210FG53600.xlsx" \t "http://czj.xinyang.gov.cn/c/392/2021/0707/_blank" </w:instrText>
            </w:r>
            <w:r>
              <w:fldChar w:fldCharType="separate"/>
            </w:r>
            <w:r>
              <w:rPr>
                <w:rStyle w:val="8"/>
                <w:rFonts w:hint="eastAsia" w:ascii="微软雅黑" w:hAnsi="微软雅黑" w:eastAsia="微软雅黑" w:cs="微软雅黑"/>
                <w:color w:val="6E6E6E"/>
                <w:sz w:val="18"/>
                <w:szCs w:val="18"/>
              </w:rPr>
              <w:t>202</w:t>
            </w:r>
            <w:r>
              <w:rPr>
                <w:rStyle w:val="8"/>
                <w:rFonts w:hint="eastAsia" w:ascii="微软雅黑" w:hAnsi="微软雅黑" w:eastAsia="微软雅黑" w:cs="微软雅黑"/>
                <w:color w:val="6E6E6E"/>
                <w:sz w:val="18"/>
                <w:szCs w:val="18"/>
                <w:lang w:val="en-US" w:eastAsia="zh-CN"/>
              </w:rPr>
              <w:t>2</w:t>
            </w:r>
            <w:r>
              <w:rPr>
                <w:rStyle w:val="8"/>
                <w:rFonts w:hint="eastAsia" w:ascii="微软雅黑" w:hAnsi="微软雅黑" w:eastAsia="微软雅黑" w:cs="微软雅黑"/>
                <w:color w:val="6E6E6E"/>
                <w:sz w:val="18"/>
                <w:szCs w:val="18"/>
              </w:rPr>
              <w:t>年</w:t>
            </w:r>
            <w:r>
              <w:rPr>
                <w:rStyle w:val="8"/>
                <w:rFonts w:hint="eastAsia" w:ascii="微软雅黑" w:hAnsi="微软雅黑" w:eastAsia="微软雅黑" w:cs="微软雅黑"/>
                <w:color w:val="6E6E6E"/>
                <w:sz w:val="18"/>
                <w:szCs w:val="18"/>
                <w:lang w:eastAsia="zh-CN"/>
              </w:rPr>
              <w:t>罗山县委统战部</w:t>
            </w:r>
            <w:r>
              <w:rPr>
                <w:rStyle w:val="8"/>
                <w:rFonts w:hint="eastAsia" w:ascii="微软雅黑" w:hAnsi="微软雅黑" w:eastAsia="微软雅黑" w:cs="微软雅黑"/>
                <w:color w:val="6E6E6E"/>
                <w:sz w:val="18"/>
                <w:szCs w:val="18"/>
              </w:rPr>
              <w:t>部门预算公开表</w:t>
            </w:r>
            <w:r>
              <w:rPr>
                <w:rStyle w:val="8"/>
                <w:rFonts w:hint="eastAsia" w:ascii="微软雅黑" w:hAnsi="微软雅黑" w:eastAsia="微软雅黑" w:cs="微软雅黑"/>
                <w:color w:val="6E6E6E"/>
                <w:sz w:val="18"/>
                <w:szCs w:val="18"/>
              </w:rPr>
              <w:fldChar w:fldCharType="end"/>
            </w:r>
          </w:p>
        </w:tc>
      </w:tr>
    </w:tbl>
    <w:p>
      <w:pPr>
        <w:widowControl/>
        <w:spacing w:before="30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Q2M2YzNmFkMjhlOGIzZjMzMzUzNDc5YmVjZWM3NzcifQ=="/>
  </w:docVars>
  <w:rsids>
    <w:rsidRoot w:val="58914A84"/>
    <w:rsid w:val="002A1DBF"/>
    <w:rsid w:val="005956C0"/>
    <w:rsid w:val="00A415FD"/>
    <w:rsid w:val="0889321E"/>
    <w:rsid w:val="0C4E08B2"/>
    <w:rsid w:val="21E37332"/>
    <w:rsid w:val="4C1E3D53"/>
    <w:rsid w:val="4E5F36FB"/>
    <w:rsid w:val="529919DC"/>
    <w:rsid w:val="58914A84"/>
    <w:rsid w:val="5B780A8E"/>
    <w:rsid w:val="5D475C03"/>
    <w:rsid w:val="65F100F8"/>
    <w:rsid w:val="678659F1"/>
    <w:rsid w:val="690B6848"/>
    <w:rsid w:val="79965811"/>
    <w:rsid w:val="7C824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3919</Words>
  <Characters>4124</Characters>
  <Lines>27</Lines>
  <Paragraphs>7</Paragraphs>
  <TotalTime>157</TotalTime>
  <ScaleCrop>false</ScaleCrop>
  <LinksUpToDate>false</LinksUpToDate>
  <CharactersWithSpaces>4232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2021-07-26T01:39:00Z</cp:lastPrinted>
  <dcterms:modified xsi:type="dcterms:W3CDTF">2023-04-14T08:31:43Z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C2D014551A234A49BC1C2696C60A4606</vt:lpwstr>
  </property>
</Properties>
</file>