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bookmarkStart w:id="0" w:name="_GoBack"/>
      <w:bookmarkEnd w:id="0"/>
    </w:p>
    <w:p>
      <w:pPr>
        <w:ind w:firstLine="1080" w:firstLineChars="300"/>
        <w:jc w:val="both"/>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12"/>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576"/>
        <w:gridCol w:w="427"/>
        <w:gridCol w:w="362"/>
        <w:gridCol w:w="639"/>
        <w:gridCol w:w="1761"/>
        <w:gridCol w:w="562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3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5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4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建设地点</w:t>
            </w:r>
          </w:p>
        </w:tc>
        <w:tc>
          <w:tcPr>
            <w:tcW w:w="36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63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环境影响评价机构</w:t>
            </w:r>
          </w:p>
        </w:tc>
        <w:tc>
          <w:tcPr>
            <w:tcW w:w="1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建设项目概况</w:t>
            </w:r>
          </w:p>
        </w:tc>
        <w:tc>
          <w:tcPr>
            <w:tcW w:w="56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主要环境影响及预防或减轻不良环境影响的措施</w:t>
            </w:r>
          </w:p>
        </w:tc>
        <w:tc>
          <w:tcPr>
            <w:tcW w:w="71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384" w:type="dxa"/>
            <w:vAlign w:val="center"/>
          </w:tcPr>
          <w:p>
            <w:pPr>
              <w:jc w:val="center"/>
              <w:rPr>
                <w:rFonts w:hint="eastAsia" w:ascii="仿宋" w:hAnsi="仿宋" w:eastAsia="仿宋" w:cs="仿宋"/>
                <w:sz w:val="24"/>
                <w:szCs w:val="24"/>
                <w:lang w:eastAsia="zh-CN"/>
              </w:rPr>
            </w:pPr>
          </w:p>
        </w:tc>
        <w:tc>
          <w:tcPr>
            <w:tcW w:w="5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zh-CN"/>
              </w:rPr>
              <w:t>信阳罗山罗山南</w:t>
            </w:r>
            <w:r>
              <w:rPr>
                <w:rFonts w:hint="eastAsia" w:ascii="仿宋" w:hAnsi="仿宋" w:eastAsia="仿宋" w:cs="仿宋"/>
                <w:sz w:val="24"/>
                <w:szCs w:val="24"/>
                <w:lang w:val="en-US" w:eastAsia="zh-CN"/>
              </w:rPr>
              <w:t>220千伏变电站110千伏送出工程（线路变更）</w:t>
            </w:r>
          </w:p>
        </w:tc>
        <w:tc>
          <w:tcPr>
            <w:tcW w:w="42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河南省信阳市罗山县</w:t>
            </w:r>
          </w:p>
        </w:tc>
        <w:tc>
          <w:tcPr>
            <w:tcW w:w="362"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国网河南省电力公司信阳供电公司</w:t>
            </w:r>
          </w:p>
        </w:tc>
        <w:tc>
          <w:tcPr>
            <w:tcW w:w="639"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zh-CN"/>
              </w:rPr>
              <w:t>中国电建集团河南省电力勘测设计院有限公司</w:t>
            </w:r>
          </w:p>
        </w:tc>
        <w:tc>
          <w:tcPr>
            <w:tcW w:w="1761" w:type="dxa"/>
            <w:vAlign w:val="center"/>
          </w:tcPr>
          <w:p>
            <w:pPr>
              <w:pStyle w:val="2"/>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新建罗山南~徐楼110kV线路工程，起于罗山南 220kV 变电站，止于徐楼 110kV 变电站。线路全长 18.5km，单回路架设17.8km，利用原潘新~徐楼110kV 线路备用侧 0.7km。单回路路径减少 0.4km，架设方式不变</w:t>
            </w:r>
          </w:p>
          <w:p>
            <w:pPr>
              <w:pStyle w:val="10"/>
              <w:spacing w:after="0" w:line="520" w:lineRule="exact"/>
              <w:ind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属线路重大变动重新报批项目。</w:t>
            </w:r>
          </w:p>
          <w:p>
            <w:pPr>
              <w:pStyle w:val="10"/>
              <w:spacing w:after="0" w:line="520" w:lineRule="exact"/>
              <w:ind w:firstLineChars="200"/>
              <w:rPr>
                <w:rFonts w:hint="eastAsia" w:ascii="仿宋" w:hAnsi="仿宋" w:eastAsia="仿宋" w:cs="仿宋"/>
                <w:sz w:val="24"/>
                <w:szCs w:val="24"/>
                <w:lang w:eastAsia="zh-CN"/>
              </w:rPr>
            </w:pPr>
          </w:p>
          <w:p>
            <w:pPr>
              <w:pStyle w:val="10"/>
              <w:spacing w:after="0" w:line="520" w:lineRule="exact"/>
              <w:ind w:firstLineChars="200"/>
              <w:rPr>
                <w:rFonts w:hint="eastAsia" w:ascii="仿宋" w:hAnsi="仿宋" w:eastAsia="仿宋" w:cs="仿宋"/>
                <w:sz w:val="24"/>
                <w:szCs w:val="24"/>
                <w:lang w:eastAsia="zh-CN"/>
              </w:rPr>
            </w:pPr>
          </w:p>
          <w:p>
            <w:pPr>
              <w:pStyle w:val="10"/>
              <w:spacing w:after="0" w:line="520" w:lineRule="exact"/>
              <w:ind w:firstLineChars="200"/>
              <w:rPr>
                <w:rFonts w:hint="eastAsia" w:ascii="仿宋" w:hAnsi="仿宋" w:eastAsia="仿宋" w:cs="仿宋"/>
                <w:sz w:val="24"/>
                <w:szCs w:val="24"/>
              </w:rPr>
            </w:pPr>
          </w:p>
        </w:tc>
        <w:tc>
          <w:tcPr>
            <w:tcW w:w="5625" w:type="dxa"/>
          </w:tcPr>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一、本项目施工期主要的环境影响及减轻不良环境影响的措施：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 xml:space="preserve"> 对生态系统影响及措施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项目对各生态系统的影响主要体现在对土地的占用、扰动以及对植被破坏等造成的生态影响。根据现场调查，本项目评价区生态系统主要以农田生态系统为主。本项目占地面积较小，新建线路施工永久占地有限，多为临时占地，且临时占地在施工后可完全恢复原有功能，不会改变当地总体的土地利用现状。因此本项目不会影响生态系统的群落演替，不会对各生态系统的结构和功能造成危害，更不会对生态系统造成不可逆转的影响。</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2、 施工扬尘影响及措施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施工期间所产生的固体废物主要有施工人员产生的生活垃圾，以及铁塔基础施工开挖产生的弃土弃渣等建筑垃圾。通过加强对施工期的管理，对固体废物按照当地相关规定处理、处置，项目施工期固废对周边环境影响不大。</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3 、声环境影响及措施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本项目施工期在场地平整、基础施工和设备安装等阶段中，挖掘机和推土机等施工机械可能产生施工噪声，其噪声源一般为 60dB（A）~75dB（A）。在采取相应施工期声环境保护措施后，本项目施工噪声对周围声环境的影响较小，而且随着施工期的结束而消失。</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4、 污水排放影响及措施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本项目产生施工废污水为施工生产废水和施工人员产生的生活污水。</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线路施工人员就近租用民房或工屋，生活污水利用当地已有的生活污水处理设施进行处理。</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本工程输电线路施工采用商品混凝土，混凝土养护水一般自然蒸发，无生产废水产生。</w:t>
            </w:r>
          </w:p>
          <w:p>
            <w:pPr>
              <w:pStyle w:val="2"/>
              <w:ind w:firstLine="481" w:firstLineChars="200"/>
              <w:rPr>
                <w:rFonts w:hint="eastAsia" w:ascii="仿宋" w:hAnsi="仿宋" w:eastAsia="仿宋" w:cs="仿宋"/>
                <w:sz w:val="24"/>
                <w:szCs w:val="24"/>
                <w:lang w:eastAsia="zh-CN"/>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lang w:eastAsia="zh-CN"/>
              </w:rPr>
              <w:t>固废影响及措施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项目施工期的固体废物主要有架空线路施工过程中产生的建筑垃圾以及施工人员产生的生活垃圾。施工人员产生的生活垃圾集中收集统一清运至地方环卫部门指定的位置。本期工程土石方主要来自于塔基基础施工开挖。建设单位对建筑垃圾分类后回收利用，对于无利用价值的废弃物按城市建筑垃圾管理办法处理、处置。</w:t>
            </w:r>
          </w:p>
          <w:p>
            <w:pPr>
              <w:spacing w:line="520" w:lineRule="exac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在农田和经济作物区施工时，施工临时占地宜采取隔离保护措施，施工结束后应将混凝土余料和残渣及时清除，以免影响后期土地功能的恢复</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二、运营期生态环境影响及减轻不良环境影响的措施：</w:t>
            </w:r>
          </w:p>
          <w:p>
            <w:pPr>
              <w:spacing w:line="520" w:lineRule="exact"/>
              <w:ind w:firstLine="481"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本项目运营期主要进行电能的转换和传输，无其他生产和建设活动，无生态影响，主要为电磁及声环境影响。</w:t>
            </w:r>
          </w:p>
          <w:p>
            <w:pPr>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 xml:space="preserve"> 、电磁环境影响</w:t>
            </w:r>
            <w:r>
              <w:rPr>
                <w:rFonts w:hint="eastAsia" w:ascii="仿宋" w:hAnsi="仿宋" w:eastAsia="仿宋" w:cs="仿宋"/>
                <w:b/>
                <w:bCs/>
                <w:sz w:val="24"/>
                <w:szCs w:val="24"/>
                <w:lang w:eastAsia="zh-CN"/>
              </w:rPr>
              <w:t>及措施</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架空线路电磁环境影响分析</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本工程 110kV 单回线路在采用 1B6-ZM1 型塔、2×JL/G1A-240/30 型导线，下相线对地高度为 6m 时，地面 1.5m 高处的工频电场强度最大值为 3.151kV/m（距线路中心地面垂直投影水平距离 4m 处），工频磁感应强度最大值为 24.814μT（距线路中心地面垂直投影水平距离 0m处）；下相线对地高度为 7m 时，地面 1.5m 高处的工频电场强度最大值为 2.365kV/m（距线路中心地面垂直投影水平距离 4m 处），工频磁感应强度最大值为 16.426μT（距线路中心地面垂直投影水平距离 0m 处）。输电线路运行产生的工频电场强度小于 4kV/m 的公众曝露控制限值要求（架空输电线路下耕地、园地、畜禽饲养地、养殖水面、道路等场所电场强度 10kV/m），工频磁感应强度小于 100μT 的公众曝露控制限值要求。</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 xml:space="preserve"> 声环境影响及措施</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架空输电线路声环境影响及措施</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本工程输电线路的声环境影响主要来自电晕噪声，主要是由导线表面在空气中的局部放电（电晕）产生的，可听噪声主要发生在阴雨天气下，因水滴的碰撞或聚集在导线上产生大量的电晕放电，而在晴好天气下只有很少的电晕放电产生。</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项 目 环 境 敏 感 点 处 昼 间 噪 声 值 在 37.5dB(A)~56.8dB(A) 之 间 ， 夜 间 噪 声 值 </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35.9dB(A)~46.7dB(A)之间，声环境质量满足《声环境质量标准》（GB3096-2008）对应的 1 类、4a 类标准限值要求。</w:t>
            </w:r>
          </w:p>
          <w:p>
            <w:pPr>
              <w:spacing w:line="520" w:lineRule="exact"/>
              <w:ind w:firstLine="481" w:firstLineChars="200"/>
              <w:rPr>
                <w:rFonts w:hint="eastAsia" w:ascii="仿宋" w:hAnsi="仿宋" w:eastAsia="仿宋" w:cs="仿宋"/>
                <w:b/>
                <w:bCs/>
                <w:sz w:val="24"/>
                <w:szCs w:val="24"/>
                <w:lang w:eastAsia="zh-CN"/>
              </w:rPr>
            </w:pPr>
          </w:p>
          <w:p>
            <w:pPr>
              <w:spacing w:line="520" w:lineRule="exact"/>
              <w:ind w:firstLine="481" w:firstLineChars="200"/>
              <w:rPr>
                <w:rFonts w:hint="eastAsia" w:ascii="方正仿宋_GBK" w:hAnsi="方正仿宋_GBK" w:eastAsia="方正仿宋_GBK" w:cs="方正仿宋_GBK"/>
                <w:b/>
                <w:bCs/>
                <w:sz w:val="24"/>
                <w:szCs w:val="24"/>
                <w:lang w:eastAsia="zh-CN"/>
              </w:rPr>
            </w:pPr>
          </w:p>
          <w:p>
            <w:pPr>
              <w:spacing w:line="520" w:lineRule="exact"/>
              <w:ind w:firstLine="480" w:firstLineChars="200"/>
              <w:rPr>
                <w:rFonts w:hint="eastAsia" w:ascii="仿宋" w:hAnsi="仿宋" w:eastAsia="仿宋" w:cs="仿宋"/>
                <w:sz w:val="24"/>
                <w:szCs w:val="24"/>
                <w:lang w:eastAsia="zh-CN"/>
              </w:rPr>
            </w:pPr>
          </w:p>
        </w:tc>
        <w:tc>
          <w:tcPr>
            <w:tcW w:w="714" w:type="dxa"/>
            <w:vAlign w:val="center"/>
          </w:tcPr>
          <w:p>
            <w:pPr>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p>
            <w:pPr>
              <w:jc w:val="center"/>
              <w:rPr>
                <w:rFonts w:hint="eastAsia" w:ascii="仿宋" w:hAnsi="仿宋" w:eastAsia="仿宋" w:cs="仿宋"/>
                <w:sz w:val="24"/>
                <w:szCs w:val="24"/>
              </w:rPr>
            </w:pPr>
          </w:p>
        </w:tc>
      </w:tr>
    </w:tbl>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MWQ3MTNjNWUyMWRiZmRiYzdkMmNiMmI4NThjMzQifQ=="/>
    <w:docVar w:name="KSO_WPS_MARK_KEY" w:val="5ea93111-66dd-4fc1-838d-fcae191bfbd0"/>
  </w:docVars>
  <w:rsids>
    <w:rsidRoot w:val="043A27C1"/>
    <w:rsid w:val="00020251"/>
    <w:rsid w:val="000724A0"/>
    <w:rsid w:val="001F228D"/>
    <w:rsid w:val="002261D5"/>
    <w:rsid w:val="004D6DD9"/>
    <w:rsid w:val="006B2E82"/>
    <w:rsid w:val="007A3EE9"/>
    <w:rsid w:val="00B44222"/>
    <w:rsid w:val="00EF6A42"/>
    <w:rsid w:val="043A27C1"/>
    <w:rsid w:val="09824992"/>
    <w:rsid w:val="0BC913B1"/>
    <w:rsid w:val="0D9C6E37"/>
    <w:rsid w:val="0FCA23A5"/>
    <w:rsid w:val="13F91234"/>
    <w:rsid w:val="15A67D7F"/>
    <w:rsid w:val="19D62972"/>
    <w:rsid w:val="220E09E2"/>
    <w:rsid w:val="2C044CD8"/>
    <w:rsid w:val="2C1C2C53"/>
    <w:rsid w:val="379F45E3"/>
    <w:rsid w:val="394E54AE"/>
    <w:rsid w:val="3D23643B"/>
    <w:rsid w:val="3DAF2C98"/>
    <w:rsid w:val="6736760F"/>
    <w:rsid w:val="69CE686D"/>
    <w:rsid w:val="6F4B376E"/>
    <w:rsid w:val="71C34E25"/>
    <w:rsid w:val="72456C6E"/>
    <w:rsid w:val="72601A52"/>
    <w:rsid w:val="73910243"/>
    <w:rsid w:val="77FE0F68"/>
    <w:rsid w:val="7A3E4C04"/>
    <w:rsid w:val="F5CE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styleId="4">
    <w:name w:val="Body Text"/>
    <w:basedOn w:val="1"/>
    <w:next w:val="5"/>
    <w:qFormat/>
    <w:uiPriority w:val="0"/>
    <w:pPr>
      <w:spacing w:after="120"/>
    </w:pPr>
  </w:style>
  <w:style w:type="paragraph" w:customStyle="1" w:styleId="5">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Body Text Indent"/>
    <w:basedOn w:val="1"/>
    <w:next w:val="4"/>
    <w:qFormat/>
    <w:uiPriority w:val="0"/>
    <w:pPr>
      <w:ind w:firstLine="480"/>
    </w:pPr>
    <w:rPr>
      <w:sz w:val="24"/>
      <w:szCs w:val="20"/>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4"/>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5">
    <w:name w:val="List Paragraph"/>
    <w:basedOn w:val="1"/>
    <w:qFormat/>
    <w:uiPriority w:val="99"/>
    <w:pPr>
      <w:ind w:firstLine="420" w:firstLineChars="200"/>
    </w:pPr>
  </w:style>
  <w:style w:type="paragraph" w:customStyle="1" w:styleId="16">
    <w:name w:val="Table Paragraph"/>
    <w:basedOn w:val="1"/>
    <w:qFormat/>
    <w:uiPriority w:val="1"/>
  </w:style>
  <w:style w:type="paragraph" w:customStyle="1" w:styleId="17">
    <w:name w:val="0"/>
    <w:basedOn w:val="1"/>
    <w:qFormat/>
    <w:uiPriority w:val="0"/>
    <w:pPr>
      <w:spacing w:line="460" w:lineRule="exact"/>
      <w:ind w:firstLine="480" w:firstLineChars="200"/>
    </w:pPr>
  </w:style>
  <w:style w:type="paragraph" w:customStyle="1" w:styleId="18">
    <w:name w:val="报告正文"/>
    <w:basedOn w:val="1"/>
    <w:qFormat/>
    <w:uiPriority w:val="0"/>
    <w:pPr>
      <w:adjustRightInd w:val="0"/>
      <w:snapToGrid w:val="0"/>
      <w:spacing w:line="360" w:lineRule="auto"/>
      <w:ind w:firstLine="200" w:firstLineChars="200"/>
    </w:pPr>
    <w:rPr>
      <w:rFonts w:ascii="宋体"/>
      <w:sz w:val="24"/>
      <w:szCs w:val="20"/>
    </w:rPr>
  </w:style>
  <w:style w:type="character" w:customStyle="1" w:styleId="19">
    <w:name w:val="页眉 Char"/>
    <w:basedOn w:val="13"/>
    <w:link w:val="8"/>
    <w:qFormat/>
    <w:uiPriority w:val="0"/>
    <w:rPr>
      <w:rFonts w:asciiTheme="minorHAnsi" w:hAnsiTheme="minorHAnsi" w:eastAsiaTheme="minorEastAsia" w:cstheme="minorBidi"/>
      <w:kern w:val="2"/>
      <w:sz w:val="18"/>
      <w:szCs w:val="18"/>
    </w:rPr>
  </w:style>
  <w:style w:type="character" w:customStyle="1" w:styleId="20">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1844</Words>
  <Characters>2045</Characters>
  <Lines>10</Lines>
  <Paragraphs>2</Paragraphs>
  <TotalTime>17</TotalTime>
  <ScaleCrop>false</ScaleCrop>
  <LinksUpToDate>false</LinksUpToDate>
  <CharactersWithSpaces>2115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2019-09-26T15:20:00Z</dcterms:created>
  <dc:creator>zz</dc:creator>
  <cp:lastModifiedBy>guest</cp:lastModifiedBy>
  <cp:lastPrinted>2022-12-14T19:34:00Z</cp:lastPrinted>
  <dcterms:modified xsi:type="dcterms:W3CDTF">2022-12-15T15:54:39Z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90264FFFE279432A8AAB485E24049AB2</vt:lpwstr>
  </property>
</Properties>
</file>