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highlight w:val="none"/>
        </w:rPr>
      </w:pPr>
    </w:p>
    <w:p>
      <w:pPr>
        <w:jc w:val="center"/>
        <w:rPr>
          <w:rFonts w:ascii="黑体" w:hAnsi="黑体" w:eastAsia="黑体" w:cs="黑体"/>
          <w:sz w:val="52"/>
          <w:szCs w:val="52"/>
          <w:highlight w:val="none"/>
        </w:rPr>
      </w:pPr>
      <w:r>
        <w:rPr>
          <w:rFonts w:hint="eastAsia" w:ascii="黑体" w:hAnsi="黑体" w:eastAsia="黑体" w:cs="黑体"/>
          <w:sz w:val="52"/>
          <w:szCs w:val="52"/>
          <w:highlight w:val="none"/>
          <w:lang w:val="en-US" w:eastAsia="zh-CN"/>
        </w:rPr>
        <w:t>罗山县退役军人事务</w:t>
      </w:r>
      <w:r>
        <w:rPr>
          <w:rFonts w:hint="eastAsia" w:ascii="黑体" w:hAnsi="黑体" w:eastAsia="黑体" w:cs="黑体"/>
          <w:sz w:val="52"/>
          <w:szCs w:val="52"/>
          <w:highlight w:val="none"/>
        </w:rPr>
        <w:t>局</w:t>
      </w:r>
    </w:p>
    <w:p>
      <w:pPr>
        <w:jc w:val="center"/>
        <w:rPr>
          <w:rFonts w:ascii="黑体" w:hAnsi="黑体" w:eastAsia="黑体" w:cs="黑体"/>
          <w:sz w:val="52"/>
          <w:szCs w:val="52"/>
          <w:highlight w:val="none"/>
        </w:rPr>
      </w:pPr>
      <w:r>
        <w:rPr>
          <w:rFonts w:hint="eastAsia" w:ascii="黑体" w:hAnsi="黑体" w:eastAsia="黑体" w:cs="黑体"/>
          <w:sz w:val="52"/>
          <w:szCs w:val="52"/>
          <w:highlight w:val="none"/>
        </w:rPr>
        <w:t>2020年度部门决算公开</w:t>
      </w:r>
    </w:p>
    <w:p>
      <w:pPr>
        <w:jc w:val="center"/>
        <w:rPr>
          <w:rFonts w:hint="eastAsia" w:ascii="黑体" w:hAnsi="黑体" w:eastAsia="黑体" w:cs="黑体"/>
          <w:sz w:val="36"/>
          <w:szCs w:val="36"/>
          <w:highlight w:val="none"/>
        </w:rPr>
      </w:pPr>
    </w:p>
    <w:p>
      <w:pPr>
        <w:jc w:val="center"/>
        <w:rPr>
          <w:rFonts w:hint="eastAsia" w:ascii="黑体" w:hAnsi="黑体" w:eastAsia="黑体" w:cs="黑体"/>
          <w:sz w:val="36"/>
          <w:szCs w:val="36"/>
          <w:highlight w:val="none"/>
        </w:rPr>
      </w:pPr>
    </w:p>
    <w:p>
      <w:pPr>
        <w:jc w:val="center"/>
        <w:rPr>
          <w:rFonts w:hint="eastAsia" w:ascii="黑体" w:hAnsi="黑体" w:eastAsia="黑体" w:cs="黑体"/>
          <w:sz w:val="36"/>
          <w:szCs w:val="36"/>
          <w:highlight w:val="none"/>
        </w:rPr>
      </w:pPr>
      <w:r>
        <w:rPr>
          <w:rFonts w:hint="eastAsia" w:ascii="黑体" w:hAnsi="黑体" w:eastAsia="黑体" w:cs="黑体"/>
          <w:sz w:val="36"/>
          <w:szCs w:val="36"/>
          <w:highlight w:val="none"/>
        </w:rPr>
        <w:t>目　　录</w:t>
      </w:r>
    </w:p>
    <w:p>
      <w:pPr>
        <w:jc w:val="center"/>
        <w:rPr>
          <w:rFonts w:hint="eastAsia" w:ascii="黑体" w:hAnsi="黑体" w:eastAsia="黑体" w:cs="黑体"/>
          <w:sz w:val="36"/>
          <w:szCs w:val="36"/>
          <w:highlight w:val="none"/>
        </w:rPr>
      </w:pPr>
    </w:p>
    <w:p>
      <w:pPr>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罗山县退役军人事务</w:t>
      </w:r>
      <w:r>
        <w:rPr>
          <w:rFonts w:hint="eastAsia" w:ascii="黑体" w:hAnsi="黑体" w:eastAsia="黑体" w:cs="黑体"/>
          <w:sz w:val="32"/>
          <w:szCs w:val="32"/>
          <w:highlight w:val="none"/>
        </w:rPr>
        <w:t>局概况</w:t>
      </w:r>
    </w:p>
    <w:p>
      <w:pPr>
        <w:widowControl w:val="0"/>
        <w:numPr>
          <w:ilvl w:val="0"/>
          <w:numId w:val="1"/>
        </w:num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部门职责</w:t>
      </w:r>
    </w:p>
    <w:p>
      <w:pPr>
        <w:widowControl w:val="0"/>
        <w:numPr>
          <w:ilvl w:val="0"/>
          <w:numId w:val="1"/>
        </w:num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机构设置</w:t>
      </w:r>
    </w:p>
    <w:p>
      <w:pPr>
        <w:rPr>
          <w:rFonts w:ascii="黑体" w:hAnsi="黑体" w:eastAsia="黑体" w:cs="黑体"/>
          <w:sz w:val="32"/>
          <w:szCs w:val="32"/>
          <w:highlight w:val="none"/>
        </w:rPr>
      </w:pPr>
      <w:r>
        <w:rPr>
          <w:rFonts w:hint="eastAsia" w:ascii="黑体" w:hAnsi="黑体" w:eastAsia="黑体" w:cs="黑体"/>
          <w:sz w:val="32"/>
          <w:szCs w:val="32"/>
          <w:highlight w:val="none"/>
        </w:rPr>
        <w:t>第二部分　　2020年度部门决算情况说明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一、收入支出决算总体情况说明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二、收入决算情况说明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三、支出决算情况说明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四、财政拨款收入支出决算总体情况说明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五、一般公共预算财政拨款支出决算情况说明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六、一般公共预算财政拨款基本支出决算情况说明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七、一般公共预算财政拨款“三公”经费支出决算情况说明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八、预算绩效情况说明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九、政府性基金预算财政拨款支出决算情况说明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十、机关运行经费支出情况说明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十一、政府采购支出情况说明</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十二、国有资产占用情况说明</w:t>
      </w:r>
    </w:p>
    <w:p>
      <w:pPr>
        <w:rPr>
          <w:rFonts w:ascii="黑体" w:hAnsi="黑体" w:eastAsia="黑体" w:cs="黑体"/>
          <w:sz w:val="32"/>
          <w:szCs w:val="32"/>
          <w:highlight w:val="none"/>
        </w:rPr>
      </w:pPr>
      <w:r>
        <w:rPr>
          <w:rFonts w:hint="eastAsia" w:ascii="黑体" w:hAnsi="黑体" w:eastAsia="黑体" w:cs="黑体"/>
          <w:sz w:val="32"/>
          <w:szCs w:val="32"/>
          <w:highlight w:val="none"/>
        </w:rPr>
        <w:t>第三部分　　名词解释</w:t>
      </w:r>
    </w:p>
    <w:p>
      <w:pPr>
        <w:rPr>
          <w:rFonts w:ascii="黑体" w:hAnsi="黑体" w:eastAsia="黑体" w:cs="黑体"/>
          <w:sz w:val="32"/>
          <w:szCs w:val="32"/>
          <w:highlight w:val="none"/>
        </w:rPr>
      </w:pPr>
      <w:r>
        <w:rPr>
          <w:rFonts w:hint="eastAsia" w:ascii="黑体" w:hAnsi="黑体" w:eastAsia="黑体" w:cs="黑体"/>
          <w:sz w:val="32"/>
          <w:szCs w:val="32"/>
          <w:highlight w:val="none"/>
        </w:rPr>
        <w:t>第四部分　　2020年度部门决算表（Excel表格形式）</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一、收入支出决算总表</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二、收入决算表</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三、支出决算表</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四、财政拨款收入支出决算总表</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五、一般公共预算财政拨款支出决算表</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六、一般公共预算财政拨款基本支出决算表</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七、一般公共预算财政拨款“三公”经费支出决算表</w:t>
      </w:r>
    </w:p>
    <w:p>
      <w:pPr>
        <w:ind w:firstLine="640" w:firstLineChars="200"/>
        <w:rPr>
          <w:rFonts w:ascii="黑体" w:hAnsi="黑体" w:eastAsia="黑体" w:cs="黑体"/>
          <w:sz w:val="44"/>
          <w:szCs w:val="44"/>
          <w:highlight w:val="none"/>
        </w:rPr>
      </w:pPr>
      <w:r>
        <w:rPr>
          <w:rFonts w:hint="eastAsia"/>
          <w:sz w:val="32"/>
          <w:szCs w:val="32"/>
          <w:highlight w:val="none"/>
        </w:rPr>
        <w:t>八、政府性基金预算财政拨款收入支出决算表</w:t>
      </w:r>
    </w:p>
    <w:p>
      <w:pPr>
        <w:jc w:val="center"/>
        <w:rPr>
          <w:rFonts w:ascii="黑体" w:hAnsi="黑体" w:eastAsia="黑体" w:cs="黑体"/>
          <w:sz w:val="44"/>
          <w:szCs w:val="44"/>
          <w:highlight w:val="none"/>
        </w:r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罗山县退役军人事务</w:t>
      </w:r>
      <w:r>
        <w:rPr>
          <w:rFonts w:hint="eastAsia" w:ascii="黑体" w:hAnsi="黑体" w:eastAsia="黑体" w:cs="黑体"/>
          <w:sz w:val="32"/>
          <w:szCs w:val="32"/>
          <w:highlight w:val="none"/>
        </w:rPr>
        <w:t>局概况</w:t>
      </w:r>
    </w:p>
    <w:p>
      <w:pPr>
        <w:ind w:firstLine="640" w:firstLineChars="200"/>
        <w:outlineLvl w:val="1"/>
        <w:rPr>
          <w:rFonts w:ascii="黑体" w:hAnsi="黑体" w:eastAsia="黑体" w:cs="黑体"/>
          <w:sz w:val="32"/>
          <w:szCs w:val="32"/>
          <w:highlight w:val="none"/>
        </w:rPr>
      </w:pPr>
    </w:p>
    <w:p>
      <w:pPr>
        <w:ind w:firstLine="640" w:firstLineChars="200"/>
        <w:outlineLvl w:val="1"/>
        <w:rPr>
          <w:rFonts w:ascii="黑体" w:hAnsi="黑体" w:eastAsia="黑体" w:cs="黑体"/>
          <w:sz w:val="32"/>
          <w:szCs w:val="32"/>
          <w:highlight w:val="none"/>
        </w:rPr>
      </w:pPr>
      <w:r>
        <w:rPr>
          <w:rFonts w:hint="eastAsia" w:ascii="黑体" w:hAnsi="黑体" w:eastAsia="黑体" w:cs="黑体"/>
          <w:sz w:val="32"/>
          <w:szCs w:val="32"/>
          <w:highlight w:val="none"/>
        </w:rPr>
        <w:t>一、部门</w:t>
      </w:r>
      <w:r>
        <w:rPr>
          <w:rFonts w:hint="eastAsia" w:ascii="黑体" w:hAnsi="黑体" w:eastAsia="黑体" w:cs="黑体"/>
          <w:bCs/>
          <w:sz w:val="32"/>
          <w:szCs w:val="32"/>
          <w:highlight w:val="none"/>
        </w:rPr>
        <w:t>职责</w:t>
      </w:r>
    </w:p>
    <w:p>
      <w:pPr>
        <w:spacing w:line="600" w:lineRule="exact"/>
        <w:ind w:firstLine="640" w:firstLineChars="200"/>
        <w:rPr>
          <w:rFonts w:ascii="仿宋" w:hAnsi="仿宋" w:eastAsia="仿宋" w:cs="方正仿宋_GBK"/>
          <w:sz w:val="32"/>
          <w:szCs w:val="32"/>
          <w:highlight w:val="none"/>
        </w:rPr>
      </w:pPr>
      <w:r>
        <w:rPr>
          <w:rFonts w:hint="eastAsia" w:ascii="仿宋" w:hAnsi="仿宋" w:eastAsia="仿宋" w:cs="方正仿宋_GBK"/>
          <w:sz w:val="32"/>
          <w:szCs w:val="32"/>
          <w:highlight w:val="none"/>
        </w:rPr>
        <w:t>1、贯彻党和国家退役军人思想政治、管理保障和安置优抚等工作政策法规并组织实施，褒扬彰显退役军人为党、国家和人民牺牲奉献的精神风范和价值导向。</w:t>
      </w:r>
    </w:p>
    <w:p>
      <w:pPr>
        <w:spacing w:line="600" w:lineRule="exact"/>
        <w:ind w:firstLine="640" w:firstLineChars="200"/>
        <w:rPr>
          <w:rFonts w:ascii="仿宋" w:hAnsi="仿宋" w:eastAsia="仿宋" w:cs="方正仿宋_GBK"/>
          <w:sz w:val="32"/>
          <w:szCs w:val="32"/>
          <w:highlight w:val="none"/>
        </w:rPr>
      </w:pPr>
      <w:r>
        <w:rPr>
          <w:rFonts w:hint="eastAsia" w:ascii="仿宋" w:hAnsi="仿宋" w:eastAsia="仿宋" w:cs="方正仿宋_GBK"/>
          <w:sz w:val="32"/>
          <w:szCs w:val="32"/>
          <w:highlight w:val="none"/>
        </w:rPr>
        <w:t>2、承担有关地方性法规和规章草案起草工作，指导全</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退役军人事务工作的改革与发展，拟订全</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退役军人事务发展规划并组织实施。承担机关及局属单位的干部人事、机构编制、劳动工资和教育培训等工作。</w:t>
      </w:r>
    </w:p>
    <w:p>
      <w:pPr>
        <w:spacing w:line="600" w:lineRule="exact"/>
        <w:ind w:firstLine="800" w:firstLineChars="250"/>
        <w:rPr>
          <w:rFonts w:ascii="仿宋" w:hAnsi="仿宋" w:eastAsia="仿宋" w:cs="方正仿宋_GBK"/>
          <w:sz w:val="32"/>
          <w:szCs w:val="32"/>
          <w:highlight w:val="none"/>
        </w:rPr>
      </w:pPr>
      <w:r>
        <w:rPr>
          <w:rFonts w:hint="eastAsia" w:ascii="仿宋" w:hAnsi="仿宋" w:eastAsia="仿宋" w:cs="方正仿宋_GBK"/>
          <w:sz w:val="32"/>
          <w:szCs w:val="32"/>
          <w:highlight w:val="none"/>
        </w:rPr>
        <w:t>3、负责全</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军队转业干部、复员干部、离退休干部、退役士兵和无军籍退休退职职工的移交安置工作，做好自主择业、自主就业退役军人服务管理工作。</w:t>
      </w:r>
    </w:p>
    <w:p>
      <w:pPr>
        <w:spacing w:line="600" w:lineRule="exact"/>
        <w:ind w:firstLine="640" w:firstLineChars="200"/>
        <w:rPr>
          <w:rFonts w:ascii="仿宋" w:hAnsi="仿宋" w:eastAsia="仿宋" w:cs="方正仿宋_GBK"/>
          <w:sz w:val="32"/>
          <w:szCs w:val="32"/>
          <w:highlight w:val="none"/>
        </w:rPr>
      </w:pPr>
      <w:r>
        <w:rPr>
          <w:rFonts w:hint="eastAsia" w:ascii="仿宋" w:hAnsi="仿宋" w:eastAsia="仿宋" w:cs="方正仿宋_GBK"/>
          <w:sz w:val="32"/>
          <w:szCs w:val="32"/>
          <w:highlight w:val="none"/>
        </w:rPr>
        <w:t>4、组织指导全</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退役军人教育培训工作，协调扶持退役军人和随军随调家属就业创业。</w:t>
      </w:r>
    </w:p>
    <w:p>
      <w:pPr>
        <w:spacing w:line="600" w:lineRule="exact"/>
        <w:ind w:firstLine="800" w:firstLineChars="250"/>
        <w:rPr>
          <w:rFonts w:ascii="仿宋" w:hAnsi="仿宋" w:eastAsia="仿宋" w:cs="方正仿宋_GBK"/>
          <w:sz w:val="32"/>
          <w:szCs w:val="32"/>
          <w:highlight w:val="none"/>
        </w:rPr>
      </w:pPr>
      <w:r>
        <w:rPr>
          <w:rFonts w:hint="eastAsia" w:ascii="仿宋" w:hAnsi="仿宋" w:eastAsia="仿宋" w:cs="方正仿宋_GBK"/>
          <w:sz w:val="32"/>
          <w:szCs w:val="32"/>
          <w:highlight w:val="none"/>
        </w:rPr>
        <w:t>5、贯彻落实党和国家关于退役军人特殊保障政策，会同有关部门拟订相关政策并组织实施，建立健全多方联动协调机制。</w:t>
      </w:r>
    </w:p>
    <w:p>
      <w:pPr>
        <w:spacing w:line="600" w:lineRule="exact"/>
        <w:ind w:firstLine="800" w:firstLineChars="250"/>
        <w:rPr>
          <w:rFonts w:ascii="仿宋" w:hAnsi="仿宋" w:eastAsia="仿宋" w:cs="方正仿宋_GBK"/>
          <w:sz w:val="32"/>
          <w:szCs w:val="32"/>
          <w:highlight w:val="none"/>
        </w:rPr>
      </w:pPr>
      <w:r>
        <w:rPr>
          <w:rFonts w:hint="eastAsia" w:ascii="仿宋" w:hAnsi="仿宋" w:eastAsia="仿宋" w:cs="方正仿宋_GBK"/>
          <w:sz w:val="32"/>
          <w:szCs w:val="32"/>
          <w:highlight w:val="none"/>
        </w:rPr>
        <w:t>6、组织协调落实移交我</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的离退休军人、符合条件的其他退役军人和无军籍退休退职职工的住房保障工作，以及退役军人医疗保障、社会保险等待遇保障工作；落实军队离退休干部（遗属）、无军籍退休退职职工相关待遇。</w:t>
      </w:r>
    </w:p>
    <w:p>
      <w:pPr>
        <w:spacing w:line="600" w:lineRule="exact"/>
        <w:ind w:firstLine="640" w:firstLineChars="200"/>
        <w:jc w:val="left"/>
        <w:rPr>
          <w:rFonts w:ascii="仿宋" w:hAnsi="仿宋" w:eastAsia="仿宋" w:cs="方正仿宋_GBK"/>
          <w:sz w:val="32"/>
          <w:szCs w:val="32"/>
          <w:highlight w:val="none"/>
        </w:rPr>
      </w:pPr>
      <w:r>
        <w:rPr>
          <w:rFonts w:hint="eastAsia" w:ascii="仿宋" w:hAnsi="仿宋" w:eastAsia="仿宋" w:cs="方正仿宋_GBK"/>
          <w:sz w:val="32"/>
          <w:szCs w:val="32"/>
          <w:highlight w:val="none"/>
        </w:rPr>
        <w:t>7、组织指导全</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伤病残退役军人服务管理和抚恤工作，贯彻落实全</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退役军人医疗、疗养、养老等机构的有关政策规定并组织实施；承担全</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不适宜继续服役的伤病残军人相关工作；组织指导军供服务保障工作。</w:t>
      </w:r>
    </w:p>
    <w:p>
      <w:pPr>
        <w:spacing w:line="600" w:lineRule="exact"/>
        <w:ind w:firstLine="800" w:firstLineChars="250"/>
        <w:rPr>
          <w:rFonts w:ascii="仿宋" w:hAnsi="仿宋" w:eastAsia="仿宋" w:cs="方正仿宋_GBK"/>
          <w:sz w:val="32"/>
          <w:szCs w:val="32"/>
          <w:highlight w:val="none"/>
        </w:rPr>
      </w:pPr>
      <w:r>
        <w:rPr>
          <w:rFonts w:hint="eastAsia" w:ascii="仿宋" w:hAnsi="仿宋" w:eastAsia="仿宋" w:cs="方正仿宋_GBK"/>
          <w:sz w:val="32"/>
          <w:szCs w:val="32"/>
          <w:highlight w:val="none"/>
        </w:rPr>
        <w:t>8、组织指导开展全</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拥军优属拥政爱民工作。负责现役军人、退役军人、军队文职人员和军属优待、抚恤等工作；贯彻落实国民党抗战老兵等有关人员优待政策并组织实施。</w:t>
      </w:r>
    </w:p>
    <w:p>
      <w:pPr>
        <w:spacing w:line="600" w:lineRule="exact"/>
        <w:ind w:firstLine="640" w:firstLineChars="200"/>
        <w:rPr>
          <w:rFonts w:ascii="仿宋" w:hAnsi="仿宋" w:eastAsia="仿宋" w:cs="方正仿宋_GBK"/>
          <w:sz w:val="32"/>
          <w:szCs w:val="32"/>
          <w:highlight w:val="none"/>
        </w:rPr>
      </w:pPr>
      <w:r>
        <w:rPr>
          <w:rFonts w:hint="eastAsia" w:ascii="仿宋" w:hAnsi="仿宋" w:eastAsia="仿宋" w:cs="方正仿宋_GBK"/>
          <w:sz w:val="32"/>
          <w:szCs w:val="32"/>
          <w:highlight w:val="none"/>
        </w:rPr>
        <w:t>9、负责全</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烈士及退役军人荣誉奖励、军人公墓管理维护、纪念活动等工作，依法承担英雄烈士保护相关工作，指导全</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优抚医院、光荣院、烈士纪念设施等机构的服务管理工作，总结表彰和宣扬全</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退役军人、退役军人工作单位和个人先进典型事迹。</w:t>
      </w:r>
    </w:p>
    <w:p>
      <w:pPr>
        <w:spacing w:line="600" w:lineRule="exact"/>
        <w:ind w:firstLine="800" w:firstLineChars="250"/>
        <w:rPr>
          <w:rFonts w:ascii="仿宋" w:hAnsi="仿宋" w:eastAsia="仿宋" w:cs="方正仿宋_GBK"/>
          <w:sz w:val="32"/>
          <w:szCs w:val="32"/>
          <w:highlight w:val="none"/>
        </w:rPr>
      </w:pPr>
      <w:r>
        <w:rPr>
          <w:rFonts w:hint="eastAsia" w:ascii="仿宋" w:hAnsi="仿宋" w:eastAsia="仿宋" w:cs="方正仿宋_GBK"/>
          <w:sz w:val="32"/>
          <w:szCs w:val="32"/>
          <w:highlight w:val="none"/>
        </w:rPr>
        <w:t>10、负责全</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退役军人法律法规宣传工作，指导并监督检查全</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关于退役军人相关法律法规和政策措施的落实情况；组织开展全</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退役军人权益维护和有关人员的帮扶援助工作。</w:t>
      </w:r>
    </w:p>
    <w:p>
      <w:pPr>
        <w:spacing w:line="600" w:lineRule="exact"/>
        <w:ind w:firstLine="640" w:firstLineChars="200"/>
        <w:rPr>
          <w:rFonts w:ascii="仿宋" w:hAnsi="仿宋" w:eastAsia="仿宋" w:cs="方正仿宋_GBK"/>
          <w:sz w:val="32"/>
          <w:szCs w:val="32"/>
          <w:highlight w:val="none"/>
        </w:rPr>
      </w:pPr>
      <w:r>
        <w:rPr>
          <w:rFonts w:hint="eastAsia" w:ascii="仿宋" w:hAnsi="仿宋" w:eastAsia="仿宋" w:cs="方正仿宋_GBK"/>
          <w:sz w:val="32"/>
          <w:szCs w:val="32"/>
          <w:highlight w:val="none"/>
        </w:rPr>
        <w:t>11、推进退役军人服务保障体系建设，夯实退役军人服务管理保障工作基础，提升退役军人服务管理保障工作水平。</w:t>
      </w:r>
    </w:p>
    <w:p>
      <w:pPr>
        <w:spacing w:line="600" w:lineRule="exact"/>
        <w:ind w:firstLine="480" w:firstLineChars="150"/>
        <w:rPr>
          <w:rFonts w:ascii="仿宋" w:hAnsi="仿宋" w:eastAsia="仿宋" w:cs="方正仿宋_GBK"/>
          <w:sz w:val="32"/>
          <w:szCs w:val="32"/>
          <w:highlight w:val="none"/>
        </w:rPr>
      </w:pPr>
      <w:r>
        <w:rPr>
          <w:rFonts w:hint="eastAsia" w:ascii="仿宋" w:hAnsi="仿宋" w:eastAsia="仿宋" w:cs="方正仿宋_GBK"/>
          <w:sz w:val="32"/>
          <w:szCs w:val="32"/>
          <w:highlight w:val="none"/>
        </w:rPr>
        <w:t>12、完成</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委、</w:t>
      </w:r>
      <w:r>
        <w:rPr>
          <w:rFonts w:hint="eastAsia" w:ascii="仿宋" w:hAnsi="仿宋" w:eastAsia="仿宋" w:cs="宋体"/>
          <w:sz w:val="32"/>
          <w:szCs w:val="32"/>
          <w:highlight w:val="none"/>
        </w:rPr>
        <w:t>县</w:t>
      </w:r>
      <w:r>
        <w:rPr>
          <w:rFonts w:hint="eastAsia" w:ascii="仿宋" w:hAnsi="仿宋" w:eastAsia="仿宋" w:cs="方正仿宋_GBK"/>
          <w:sz w:val="32"/>
          <w:szCs w:val="32"/>
          <w:highlight w:val="none"/>
        </w:rPr>
        <w:t>政府交办的其他任务。</w:t>
      </w:r>
    </w:p>
    <w:p>
      <w:pPr>
        <w:ind w:firstLine="640" w:firstLineChars="200"/>
        <w:outlineLvl w:val="1"/>
        <w:rPr>
          <w:rFonts w:ascii="黑体" w:hAnsi="黑体" w:eastAsia="黑体" w:cs="黑体"/>
          <w:sz w:val="32"/>
          <w:szCs w:val="32"/>
          <w:highlight w:val="none"/>
        </w:rPr>
      </w:pPr>
      <w:r>
        <w:rPr>
          <w:rFonts w:hint="eastAsia" w:ascii="黑体" w:hAnsi="黑体" w:eastAsia="黑体" w:cs="黑体"/>
          <w:sz w:val="32"/>
          <w:szCs w:val="32"/>
          <w:highlight w:val="none"/>
        </w:rPr>
        <w:t>二、机构设置</w:t>
      </w:r>
    </w:p>
    <w:p>
      <w:pPr>
        <w:spacing w:line="700" w:lineRule="exact"/>
        <w:ind w:firstLine="645"/>
        <w:rPr>
          <w:rFonts w:ascii="仿宋" w:hAnsi="仿宋" w:eastAsia="仿宋" w:cs="宋体"/>
          <w:bCs/>
          <w:sz w:val="32"/>
          <w:szCs w:val="32"/>
          <w:highlight w:val="none"/>
        </w:rPr>
      </w:pPr>
      <w:r>
        <w:rPr>
          <w:rFonts w:hint="eastAsia" w:ascii="仿宋" w:hAnsi="仿宋" w:eastAsia="仿宋"/>
          <w:sz w:val="32"/>
          <w:szCs w:val="32"/>
          <w:highlight w:val="none"/>
        </w:rPr>
        <w:t>罗山县退役军人事务局是县政府的主管退役军人事务工作的行政部门，内设机构5个，包括：办公室（</w:t>
      </w:r>
      <w:r>
        <w:rPr>
          <w:rFonts w:hint="eastAsia" w:ascii="仿宋" w:hAnsi="仿宋" w:eastAsia="仿宋" w:cs="宋体"/>
          <w:bCs/>
          <w:sz w:val="32"/>
          <w:szCs w:val="32"/>
          <w:highlight w:val="none"/>
        </w:rPr>
        <w:t>人事、规划财务</w:t>
      </w:r>
      <w:r>
        <w:rPr>
          <w:rFonts w:hint="eastAsia" w:ascii="仿宋" w:hAnsi="仿宋" w:eastAsia="仿宋"/>
          <w:sz w:val="32"/>
          <w:szCs w:val="32"/>
          <w:highlight w:val="none"/>
        </w:rPr>
        <w:t>）、</w:t>
      </w:r>
      <w:r>
        <w:rPr>
          <w:rFonts w:hint="eastAsia" w:ascii="仿宋" w:hAnsi="仿宋" w:eastAsia="仿宋" w:cs="方正仿宋_GBK"/>
          <w:bCs/>
          <w:sz w:val="32"/>
          <w:szCs w:val="32"/>
          <w:highlight w:val="none"/>
        </w:rPr>
        <w:t>思想政治和权益维护</w:t>
      </w:r>
      <w:r>
        <w:rPr>
          <w:rFonts w:hint="eastAsia" w:ascii="仿宋" w:hAnsi="仿宋" w:eastAsia="仿宋" w:cs="宋体"/>
          <w:bCs/>
          <w:sz w:val="32"/>
          <w:szCs w:val="32"/>
          <w:highlight w:val="none"/>
        </w:rPr>
        <w:t>股、</w:t>
      </w:r>
      <w:r>
        <w:rPr>
          <w:rFonts w:hint="eastAsia" w:ascii="仿宋" w:hAnsi="仿宋" w:eastAsia="仿宋" w:cs="方正仿宋_GBK"/>
          <w:bCs/>
          <w:color w:val="000000"/>
          <w:sz w:val="32"/>
          <w:szCs w:val="32"/>
          <w:highlight w:val="none"/>
        </w:rPr>
        <w:t>退役安置及</w:t>
      </w:r>
      <w:r>
        <w:rPr>
          <w:rFonts w:hint="eastAsia" w:ascii="仿宋" w:hAnsi="仿宋" w:eastAsia="仿宋" w:cs="方正仿宋_GBK"/>
          <w:bCs/>
          <w:sz w:val="32"/>
          <w:szCs w:val="32"/>
          <w:highlight w:val="none"/>
        </w:rPr>
        <w:t>军休服务管理</w:t>
      </w:r>
      <w:r>
        <w:rPr>
          <w:rFonts w:hint="eastAsia" w:ascii="仿宋" w:hAnsi="仿宋" w:eastAsia="仿宋" w:cs="方正仿宋_GBK"/>
          <w:bCs/>
          <w:color w:val="000000"/>
          <w:sz w:val="32"/>
          <w:szCs w:val="32"/>
          <w:highlight w:val="none"/>
        </w:rPr>
        <w:t>股、</w:t>
      </w:r>
      <w:r>
        <w:rPr>
          <w:rFonts w:hint="eastAsia" w:ascii="仿宋" w:hAnsi="仿宋" w:eastAsia="仿宋" w:cs="方正仿宋_GBK"/>
          <w:bCs/>
          <w:sz w:val="32"/>
          <w:szCs w:val="32"/>
          <w:highlight w:val="none"/>
        </w:rPr>
        <w:t>就业创业</w:t>
      </w:r>
      <w:r>
        <w:rPr>
          <w:rFonts w:hint="eastAsia" w:ascii="仿宋" w:hAnsi="仿宋" w:eastAsia="仿宋" w:cs="宋体"/>
          <w:bCs/>
          <w:sz w:val="32"/>
          <w:szCs w:val="32"/>
          <w:highlight w:val="none"/>
        </w:rPr>
        <w:t>股、</w:t>
      </w:r>
      <w:r>
        <w:rPr>
          <w:rFonts w:hint="eastAsia" w:ascii="仿宋" w:hAnsi="仿宋" w:eastAsia="仿宋" w:cs="方正仿宋_GBK"/>
          <w:bCs/>
          <w:sz w:val="32"/>
          <w:szCs w:val="32"/>
          <w:highlight w:val="none"/>
        </w:rPr>
        <w:t>优抚褒扬</w:t>
      </w:r>
      <w:r>
        <w:rPr>
          <w:rFonts w:hint="eastAsia" w:ascii="仿宋" w:hAnsi="仿宋" w:eastAsia="仿宋" w:cs="宋体"/>
          <w:bCs/>
          <w:sz w:val="32"/>
          <w:szCs w:val="32"/>
          <w:highlight w:val="none"/>
        </w:rPr>
        <w:t>股。</w:t>
      </w:r>
    </w:p>
    <w:p>
      <w:pPr>
        <w:spacing w:line="700" w:lineRule="exact"/>
        <w:ind w:firstLine="645"/>
        <w:rPr>
          <w:rFonts w:hint="eastAsia" w:ascii="仿宋" w:hAnsi="仿宋" w:eastAsia="仿宋" w:cs="宋体"/>
          <w:bCs/>
          <w:sz w:val="32"/>
          <w:szCs w:val="32"/>
          <w:highlight w:val="none"/>
        </w:rPr>
      </w:pPr>
      <w:r>
        <w:rPr>
          <w:rFonts w:hint="eastAsia" w:ascii="仿宋" w:hAnsi="仿宋" w:eastAsia="仿宋" w:cs="宋体"/>
          <w:bCs/>
          <w:sz w:val="32"/>
          <w:szCs w:val="32"/>
          <w:highlight w:val="none"/>
          <w:lang w:val="en-US" w:eastAsia="zh-CN"/>
        </w:rPr>
        <w:t>从决算构成来看，</w:t>
      </w:r>
      <w:r>
        <w:rPr>
          <w:rFonts w:hint="eastAsia" w:ascii="仿宋" w:hAnsi="仿宋" w:eastAsia="仿宋" w:cs="宋体"/>
          <w:bCs/>
          <w:sz w:val="32"/>
          <w:szCs w:val="32"/>
          <w:highlight w:val="none"/>
        </w:rPr>
        <w:t>罗山县退役军人事务局部门决算包括：本级决算、所属单位决算。</w:t>
      </w:r>
    </w:p>
    <w:p>
      <w:pPr>
        <w:spacing w:line="700" w:lineRule="exact"/>
        <w:ind w:firstLine="645"/>
        <w:rPr>
          <w:rFonts w:ascii="仿宋" w:hAnsi="仿宋" w:eastAsia="仿宋" w:cs="宋体"/>
          <w:bCs/>
          <w:sz w:val="32"/>
          <w:szCs w:val="32"/>
          <w:highlight w:val="none"/>
        </w:rPr>
      </w:pPr>
      <w:r>
        <w:rPr>
          <w:rFonts w:hint="eastAsia" w:ascii="仿宋" w:hAnsi="仿宋" w:eastAsia="仿宋" w:cs="宋体"/>
          <w:bCs/>
          <w:sz w:val="32"/>
          <w:szCs w:val="32"/>
          <w:highlight w:val="none"/>
          <w:lang w:val="en-US" w:eastAsia="zh-CN"/>
        </w:rPr>
        <w:t>本决算为汇总决算。</w:t>
      </w:r>
      <w:r>
        <w:rPr>
          <w:rFonts w:hint="eastAsia" w:ascii="仿宋" w:hAnsi="仿宋" w:eastAsia="仿宋" w:cs="宋体"/>
          <w:bCs/>
          <w:sz w:val="32"/>
          <w:szCs w:val="32"/>
          <w:highlight w:val="none"/>
        </w:rPr>
        <w:t>纳入本部门20</w:t>
      </w:r>
      <w:r>
        <w:rPr>
          <w:rFonts w:hint="eastAsia" w:ascii="仿宋" w:hAnsi="仿宋" w:eastAsia="仿宋" w:cs="宋体"/>
          <w:bCs/>
          <w:sz w:val="32"/>
          <w:szCs w:val="32"/>
          <w:highlight w:val="none"/>
          <w:lang w:val="en-US" w:eastAsia="zh-CN"/>
        </w:rPr>
        <w:t>20</w:t>
      </w:r>
      <w:r>
        <w:rPr>
          <w:rFonts w:hint="eastAsia" w:ascii="仿宋" w:hAnsi="仿宋" w:eastAsia="仿宋" w:cs="宋体"/>
          <w:bCs/>
          <w:sz w:val="32"/>
          <w:szCs w:val="32"/>
          <w:highlight w:val="none"/>
        </w:rPr>
        <w:t>年度部门决算编制范围的单位共3个，</w:t>
      </w:r>
      <w:r>
        <w:rPr>
          <w:rFonts w:hint="eastAsia" w:ascii="仿宋" w:hAnsi="仿宋" w:eastAsia="仿宋" w:cs="宋体"/>
          <w:bCs/>
          <w:sz w:val="32"/>
          <w:szCs w:val="32"/>
          <w:highlight w:val="none"/>
          <w:lang w:val="en-US" w:eastAsia="zh-CN"/>
        </w:rPr>
        <w:t>其中二级预算单位2个，</w:t>
      </w:r>
      <w:r>
        <w:rPr>
          <w:rFonts w:hint="eastAsia" w:ascii="仿宋" w:hAnsi="仿宋" w:eastAsia="仿宋" w:cs="宋体"/>
          <w:bCs/>
          <w:sz w:val="32"/>
          <w:szCs w:val="32"/>
          <w:highlight w:val="none"/>
        </w:rPr>
        <w:t>具体是：</w:t>
      </w:r>
    </w:p>
    <w:p>
      <w:pPr>
        <w:numPr>
          <w:ilvl w:val="0"/>
          <w:numId w:val="2"/>
        </w:numPr>
        <w:spacing w:line="700" w:lineRule="exact"/>
        <w:ind w:firstLine="645"/>
        <w:rPr>
          <w:rFonts w:ascii="仿宋" w:hAnsi="仿宋" w:eastAsia="仿宋" w:cs="宋体"/>
          <w:bCs/>
          <w:sz w:val="32"/>
          <w:szCs w:val="32"/>
          <w:highlight w:val="none"/>
        </w:rPr>
      </w:pPr>
      <w:r>
        <w:rPr>
          <w:rFonts w:hint="eastAsia" w:ascii="仿宋" w:hAnsi="仿宋" w:eastAsia="仿宋" w:cs="宋体"/>
          <w:bCs/>
          <w:sz w:val="32"/>
          <w:szCs w:val="32"/>
          <w:highlight w:val="none"/>
        </w:rPr>
        <w:t>退役军人事务局本</w:t>
      </w:r>
      <w:r>
        <w:rPr>
          <w:rFonts w:hint="eastAsia" w:ascii="仿宋" w:hAnsi="仿宋" w:eastAsia="仿宋" w:cs="宋体"/>
          <w:bCs/>
          <w:sz w:val="32"/>
          <w:szCs w:val="32"/>
          <w:highlight w:val="none"/>
          <w:lang w:val="en-US" w:eastAsia="zh-CN"/>
        </w:rPr>
        <w:t>级</w:t>
      </w:r>
    </w:p>
    <w:p>
      <w:pPr>
        <w:numPr>
          <w:ilvl w:val="0"/>
          <w:numId w:val="2"/>
        </w:numPr>
        <w:spacing w:line="700" w:lineRule="exact"/>
        <w:ind w:firstLine="645"/>
        <w:rPr>
          <w:rFonts w:ascii="仿宋" w:hAnsi="仿宋" w:eastAsia="仿宋" w:cs="宋体"/>
          <w:bCs/>
          <w:sz w:val="32"/>
          <w:szCs w:val="32"/>
          <w:highlight w:val="none"/>
        </w:rPr>
      </w:pPr>
      <w:r>
        <w:rPr>
          <w:rFonts w:hint="eastAsia" w:ascii="仿宋" w:hAnsi="仿宋" w:eastAsia="仿宋" w:cs="宋体"/>
          <w:bCs/>
          <w:sz w:val="32"/>
          <w:szCs w:val="32"/>
          <w:highlight w:val="none"/>
        </w:rPr>
        <w:t>烈士陵园</w:t>
      </w:r>
      <w:r>
        <w:rPr>
          <w:rFonts w:hint="eastAsia" w:ascii="仿宋" w:hAnsi="仿宋" w:eastAsia="仿宋" w:cs="宋体"/>
          <w:bCs/>
          <w:sz w:val="32"/>
          <w:szCs w:val="32"/>
          <w:highlight w:val="none"/>
          <w:lang w:val="en-US" w:eastAsia="zh-CN"/>
        </w:rPr>
        <w:t>事务</w:t>
      </w:r>
      <w:r>
        <w:rPr>
          <w:rFonts w:hint="eastAsia" w:ascii="仿宋" w:hAnsi="仿宋" w:eastAsia="仿宋" w:cs="宋体"/>
          <w:bCs/>
          <w:sz w:val="32"/>
          <w:szCs w:val="32"/>
          <w:highlight w:val="none"/>
        </w:rPr>
        <w:t>处</w:t>
      </w:r>
    </w:p>
    <w:p>
      <w:pPr>
        <w:numPr>
          <w:ilvl w:val="0"/>
          <w:numId w:val="2"/>
        </w:numPr>
        <w:spacing w:line="700" w:lineRule="exact"/>
        <w:ind w:firstLine="645"/>
        <w:rPr>
          <w:rFonts w:ascii="仿宋" w:hAnsi="仿宋" w:eastAsia="仿宋" w:cs="宋体"/>
          <w:bCs/>
          <w:sz w:val="32"/>
          <w:szCs w:val="32"/>
          <w:highlight w:val="none"/>
        </w:rPr>
      </w:pPr>
      <w:r>
        <w:rPr>
          <w:rFonts w:hint="eastAsia" w:ascii="仿宋" w:hAnsi="仿宋" w:eastAsia="仿宋" w:cs="宋体"/>
          <w:bCs/>
          <w:sz w:val="32"/>
          <w:szCs w:val="32"/>
          <w:highlight w:val="none"/>
        </w:rPr>
        <w:t>罗山县光荣</w:t>
      </w:r>
      <w:r>
        <w:rPr>
          <w:rFonts w:hint="eastAsia" w:ascii="仿宋" w:hAnsi="仿宋" w:eastAsia="仿宋" w:cs="宋体"/>
          <w:bCs/>
          <w:sz w:val="32"/>
          <w:szCs w:val="32"/>
          <w:highlight w:val="none"/>
          <w:lang w:eastAsia="zh-CN"/>
        </w:rPr>
        <w:t>院</w:t>
      </w:r>
    </w:p>
    <w:p>
      <w:pPr>
        <w:jc w:val="center"/>
        <w:rPr>
          <w:rFonts w:ascii="黑体" w:hAnsi="黑体" w:eastAsia="黑体" w:cs="黑体"/>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p>
    <w:p>
      <w:pPr>
        <w:jc w:val="center"/>
        <w:rPr>
          <w:sz w:val="32"/>
          <w:szCs w:val="32"/>
          <w:highlight w:val="none"/>
        </w:rPr>
      </w:pPr>
      <w:r>
        <w:rPr>
          <w:rFonts w:hint="eastAsia" w:ascii="黑体" w:hAnsi="黑体" w:eastAsia="黑体" w:cs="黑体"/>
          <w:sz w:val="32"/>
          <w:szCs w:val="32"/>
          <w:highlight w:val="none"/>
          <w:lang w:val="en-US" w:eastAsia="zh-CN"/>
        </w:rPr>
        <w:t>罗山县退役军人事务</w:t>
      </w:r>
      <w:r>
        <w:rPr>
          <w:rFonts w:hint="eastAsia" w:ascii="黑体" w:hAnsi="黑体" w:eastAsia="黑体" w:cs="黑体"/>
          <w:sz w:val="32"/>
          <w:szCs w:val="32"/>
          <w:highlight w:val="none"/>
        </w:rPr>
        <w:t>局2020年度部门决算情况说明</w:t>
      </w:r>
    </w:p>
    <w:p>
      <w:pPr>
        <w:pStyle w:val="4"/>
        <w:shd w:val="clear" w:color="auto" w:fill="FFFFFF"/>
        <w:ind w:left="161" w:leftChars="67" w:firstLine="480" w:firstLineChars="150"/>
        <w:rPr>
          <w:rFonts w:hint="eastAsia" w:ascii="仿宋_GB2312" w:eastAsia="仿宋_GB2312"/>
          <w:sz w:val="32"/>
          <w:szCs w:val="32"/>
          <w:highlight w:val="none"/>
        </w:rPr>
      </w:pPr>
      <w:r>
        <w:rPr>
          <w:rFonts w:hint="eastAsia" w:ascii="仿宋_GB2312" w:eastAsia="仿宋_GB2312"/>
          <w:sz w:val="32"/>
          <w:szCs w:val="32"/>
          <w:highlight w:val="none"/>
        </w:rPr>
        <w:t>一、收入支出决算总体情况说明</w:t>
      </w:r>
    </w:p>
    <w:p>
      <w:pPr>
        <w:pStyle w:val="4"/>
        <w:shd w:val="clear" w:color="auto" w:fill="FFFFFF"/>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2020年度收、支总计均为</w:t>
      </w:r>
      <w:r>
        <w:rPr>
          <w:rFonts w:hint="eastAsia" w:ascii="仿宋_GB2312" w:eastAsia="仿宋_GB2312"/>
          <w:sz w:val="32"/>
          <w:szCs w:val="32"/>
          <w:highlight w:val="none"/>
          <w:lang w:val="en-US" w:eastAsia="zh-CN"/>
        </w:rPr>
        <w:t>5685.05</w:t>
      </w:r>
      <w:r>
        <w:rPr>
          <w:rFonts w:hint="eastAsia" w:ascii="仿宋_GB2312" w:eastAsia="仿宋_GB2312"/>
          <w:sz w:val="32"/>
          <w:szCs w:val="32"/>
          <w:highlight w:val="none"/>
        </w:rPr>
        <w:t>万元。与上年度相比，收、支总计各增加</w:t>
      </w:r>
      <w:r>
        <w:rPr>
          <w:rFonts w:hint="eastAsia" w:ascii="仿宋_GB2312" w:eastAsia="仿宋_GB2312"/>
          <w:sz w:val="32"/>
          <w:szCs w:val="32"/>
          <w:highlight w:val="none"/>
          <w:lang w:val="en-US" w:eastAsia="zh-CN"/>
        </w:rPr>
        <w:t>1412.69</w:t>
      </w:r>
      <w:r>
        <w:rPr>
          <w:rFonts w:hint="eastAsia" w:ascii="仿宋_GB2312" w:eastAsia="仿宋_GB2312"/>
          <w:sz w:val="32"/>
          <w:szCs w:val="32"/>
          <w:highlight w:val="none"/>
        </w:rPr>
        <w:t>万元，增长</w:t>
      </w:r>
      <w:r>
        <w:rPr>
          <w:rFonts w:hint="eastAsia" w:ascii="仿宋_GB2312" w:eastAsia="仿宋_GB2312"/>
          <w:sz w:val="32"/>
          <w:szCs w:val="32"/>
          <w:highlight w:val="none"/>
          <w:lang w:val="en-US" w:eastAsia="zh-CN"/>
        </w:rPr>
        <w:t>33.07</w:t>
      </w:r>
      <w:r>
        <w:rPr>
          <w:rFonts w:hint="eastAsia" w:ascii="仿宋_GB2312" w:eastAsia="仿宋_GB2312"/>
          <w:sz w:val="32"/>
          <w:szCs w:val="32"/>
          <w:highlight w:val="none"/>
        </w:rPr>
        <w:t>%。主要原因是</w:t>
      </w:r>
      <w:r>
        <w:rPr>
          <w:rFonts w:hint="eastAsia" w:ascii="仿宋_GB2312" w:eastAsia="仿宋_GB2312"/>
          <w:sz w:val="32"/>
          <w:szCs w:val="32"/>
          <w:highlight w:val="none"/>
          <w:lang w:val="en-US" w:eastAsia="zh-CN"/>
        </w:rPr>
        <w:t>2019年第一季度优抚经费仍由民政局发放及2020年重点优抚对象抚恤标准提高</w:t>
      </w:r>
      <w:r>
        <w:rPr>
          <w:rFonts w:hint="eastAsia" w:ascii="仿宋_GB2312" w:eastAsia="仿宋_GB2312"/>
          <w:sz w:val="32"/>
          <w:szCs w:val="32"/>
          <w:highlight w:val="none"/>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二、收入决算情况说明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2020 年度收入合计</w:t>
      </w:r>
      <w:r>
        <w:rPr>
          <w:rFonts w:hint="eastAsia" w:ascii="仿宋_GB2312" w:eastAsia="仿宋_GB2312"/>
          <w:sz w:val="32"/>
          <w:szCs w:val="32"/>
          <w:highlight w:val="none"/>
          <w:lang w:val="en-US" w:eastAsia="zh-CN"/>
        </w:rPr>
        <w:t>5685.05</w:t>
      </w:r>
      <w:r>
        <w:rPr>
          <w:rFonts w:hint="eastAsia" w:ascii="仿宋_GB2312" w:eastAsia="仿宋_GB2312"/>
          <w:sz w:val="32"/>
          <w:szCs w:val="32"/>
          <w:highlight w:val="none"/>
        </w:rPr>
        <w:t>万元，其中：财政拨款收入</w:t>
      </w:r>
      <w:r>
        <w:rPr>
          <w:rFonts w:hint="eastAsia" w:ascii="仿宋_GB2312" w:eastAsia="仿宋_GB2312"/>
          <w:sz w:val="32"/>
          <w:szCs w:val="32"/>
          <w:highlight w:val="none"/>
          <w:lang w:val="en-US" w:eastAsia="zh-CN"/>
        </w:rPr>
        <w:t>5685.05</w:t>
      </w:r>
      <w:r>
        <w:rPr>
          <w:rFonts w:hint="eastAsia" w:ascii="仿宋_GB2312" w:eastAsia="仿宋_GB2312"/>
          <w:sz w:val="32"/>
          <w:szCs w:val="32"/>
          <w:highlight w:val="none"/>
        </w:rPr>
        <w:t>万元，占</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%；上级补助收入 0万元，占0.00%；事业收入</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占0.00</w:t>
      </w:r>
      <w:r>
        <w:rPr>
          <w:rFonts w:hint="eastAsia" w:ascii="仿宋_GB2312" w:eastAsia="仿宋_GB2312"/>
          <w:sz w:val="32"/>
          <w:szCs w:val="32"/>
          <w:highlight w:val="none"/>
        </w:rPr>
        <w:t>%；经营收入0.00万元，占0.00%；附属单位上缴收入 0.00万元，占0.00%；其他收入</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万元，占 0.00%。</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三、支出决算情况说明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2020年度支出合计</w:t>
      </w:r>
      <w:r>
        <w:rPr>
          <w:rFonts w:hint="eastAsia" w:ascii="仿宋_GB2312" w:eastAsia="仿宋_GB2312"/>
          <w:sz w:val="32"/>
          <w:szCs w:val="32"/>
          <w:highlight w:val="none"/>
          <w:lang w:val="en-US" w:eastAsia="zh-CN"/>
        </w:rPr>
        <w:t>5685.05</w:t>
      </w:r>
      <w:r>
        <w:rPr>
          <w:rFonts w:hint="eastAsia" w:ascii="仿宋_GB2312" w:eastAsia="仿宋_GB2312"/>
          <w:sz w:val="32"/>
          <w:szCs w:val="32"/>
          <w:highlight w:val="none"/>
        </w:rPr>
        <w:t>万元，其中：基本支出</w:t>
      </w:r>
      <w:r>
        <w:rPr>
          <w:rFonts w:hint="eastAsia" w:ascii="仿宋_GB2312" w:eastAsia="仿宋_GB2312"/>
          <w:sz w:val="32"/>
          <w:szCs w:val="32"/>
          <w:highlight w:val="none"/>
          <w:lang w:val="en-US" w:eastAsia="zh-CN"/>
        </w:rPr>
        <w:t>247.43</w:t>
      </w:r>
      <w:r>
        <w:rPr>
          <w:rFonts w:hint="eastAsia" w:ascii="仿宋_GB2312" w:eastAsia="仿宋_GB2312"/>
          <w:sz w:val="32"/>
          <w:szCs w:val="32"/>
          <w:highlight w:val="none"/>
        </w:rPr>
        <w:t xml:space="preserve"> 万元，占</w:t>
      </w:r>
      <w:r>
        <w:rPr>
          <w:rFonts w:hint="eastAsia" w:ascii="仿宋_GB2312" w:eastAsia="仿宋_GB2312"/>
          <w:sz w:val="32"/>
          <w:szCs w:val="32"/>
          <w:highlight w:val="none"/>
          <w:lang w:val="en-US" w:eastAsia="zh-CN"/>
        </w:rPr>
        <w:t>4.35</w:t>
      </w:r>
      <w:r>
        <w:rPr>
          <w:rFonts w:hint="eastAsia" w:ascii="仿宋_GB2312" w:eastAsia="仿宋_GB2312"/>
          <w:sz w:val="32"/>
          <w:szCs w:val="32"/>
          <w:highlight w:val="none"/>
        </w:rPr>
        <w:t>%；项目支出</w:t>
      </w:r>
      <w:r>
        <w:rPr>
          <w:rFonts w:hint="eastAsia" w:ascii="仿宋_GB2312" w:eastAsia="仿宋_GB2312"/>
          <w:sz w:val="32"/>
          <w:szCs w:val="32"/>
          <w:highlight w:val="none"/>
          <w:lang w:val="en-US" w:eastAsia="zh-CN"/>
        </w:rPr>
        <w:t>5437.61</w:t>
      </w:r>
      <w:r>
        <w:rPr>
          <w:rFonts w:hint="eastAsia" w:ascii="仿宋_GB2312" w:eastAsia="仿宋_GB2312"/>
          <w:sz w:val="32"/>
          <w:szCs w:val="32"/>
          <w:highlight w:val="none"/>
        </w:rPr>
        <w:t>万元，占</w:t>
      </w:r>
      <w:r>
        <w:rPr>
          <w:rFonts w:hint="eastAsia" w:ascii="仿宋_GB2312" w:eastAsia="仿宋_GB2312"/>
          <w:sz w:val="32"/>
          <w:szCs w:val="32"/>
          <w:highlight w:val="none"/>
          <w:lang w:val="en-US" w:eastAsia="zh-CN"/>
        </w:rPr>
        <w:t>95.65</w:t>
      </w:r>
      <w:r>
        <w:rPr>
          <w:rFonts w:hint="eastAsia" w:ascii="仿宋_GB2312" w:eastAsia="仿宋_GB2312"/>
          <w:sz w:val="32"/>
          <w:szCs w:val="32"/>
          <w:highlight w:val="none"/>
        </w:rPr>
        <w:t>%；上缴上级支出0.00万元，占 0.00%；经营支出0.00万元，占0.00%；对附属单位补助支出 0.00万元，占0.00%。</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四、财政拨款收入支出决算总体情况说明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2020年度财政拨款收、支总计均为</w:t>
      </w:r>
      <w:r>
        <w:rPr>
          <w:rFonts w:hint="eastAsia" w:ascii="仿宋_GB2312" w:eastAsia="仿宋_GB2312"/>
          <w:sz w:val="32"/>
          <w:szCs w:val="32"/>
          <w:highlight w:val="none"/>
          <w:lang w:val="en-US" w:eastAsia="zh-CN"/>
        </w:rPr>
        <w:t>5685.05</w:t>
      </w:r>
      <w:r>
        <w:rPr>
          <w:rFonts w:hint="eastAsia" w:ascii="仿宋_GB2312" w:eastAsia="仿宋_GB2312"/>
          <w:sz w:val="32"/>
          <w:szCs w:val="32"/>
          <w:highlight w:val="none"/>
        </w:rPr>
        <w:t>万元。与上年度相比，财政拨款收、支总计各增加</w:t>
      </w:r>
      <w:r>
        <w:rPr>
          <w:rFonts w:hint="eastAsia" w:ascii="仿宋_GB2312" w:eastAsia="仿宋_GB2312"/>
          <w:sz w:val="32"/>
          <w:szCs w:val="32"/>
          <w:highlight w:val="none"/>
          <w:lang w:val="en-US" w:eastAsia="zh-CN"/>
        </w:rPr>
        <w:t>1412.69</w:t>
      </w:r>
      <w:r>
        <w:rPr>
          <w:rFonts w:hint="eastAsia" w:ascii="仿宋_GB2312" w:eastAsia="仿宋_GB2312"/>
          <w:sz w:val="32"/>
          <w:szCs w:val="32"/>
          <w:highlight w:val="none"/>
        </w:rPr>
        <w:t>万元，增长</w:t>
      </w:r>
      <w:r>
        <w:rPr>
          <w:rFonts w:hint="eastAsia" w:ascii="仿宋_GB2312" w:eastAsia="仿宋_GB2312"/>
          <w:sz w:val="32"/>
          <w:szCs w:val="32"/>
          <w:highlight w:val="none"/>
          <w:lang w:val="en-US" w:eastAsia="zh-CN"/>
        </w:rPr>
        <w:t>33.07</w:t>
      </w:r>
      <w:r>
        <w:rPr>
          <w:rFonts w:hint="eastAsia" w:ascii="仿宋_GB2312" w:eastAsia="仿宋_GB2312"/>
          <w:sz w:val="32"/>
          <w:szCs w:val="32"/>
          <w:highlight w:val="none"/>
        </w:rPr>
        <w:t>%。主要原因是</w:t>
      </w:r>
      <w:r>
        <w:rPr>
          <w:rFonts w:hint="eastAsia" w:ascii="仿宋_GB2312" w:eastAsia="仿宋_GB2312"/>
          <w:sz w:val="32"/>
          <w:szCs w:val="32"/>
          <w:highlight w:val="none"/>
          <w:lang w:val="en-US" w:eastAsia="zh-CN"/>
        </w:rPr>
        <w:t>2019年第一季度优抚经费仍由民政局发放及2020年重点优抚对象抚恤标准提高</w:t>
      </w:r>
      <w:r>
        <w:rPr>
          <w:rFonts w:hint="eastAsia" w:ascii="仿宋_GB2312" w:eastAsia="仿宋_GB2312"/>
          <w:sz w:val="32"/>
          <w:szCs w:val="32"/>
          <w:highlight w:val="none"/>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五、一般公共预算财政拨款支出决算情况说明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（一）总体情况。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2020年度一般公共预算财政拨款支出</w:t>
      </w:r>
      <w:r>
        <w:rPr>
          <w:rFonts w:hint="eastAsia" w:ascii="仿宋_GB2312" w:eastAsia="仿宋_GB2312"/>
          <w:sz w:val="32"/>
          <w:szCs w:val="32"/>
          <w:highlight w:val="none"/>
          <w:lang w:val="en-US" w:eastAsia="zh-CN"/>
        </w:rPr>
        <w:t>5685.05</w:t>
      </w:r>
      <w:r>
        <w:rPr>
          <w:rFonts w:hint="eastAsia" w:ascii="仿宋_GB2312" w:eastAsia="仿宋_GB2312"/>
          <w:sz w:val="32"/>
          <w:szCs w:val="32"/>
          <w:highlight w:val="none"/>
        </w:rPr>
        <w:t>万元，占支出合计的</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%。与上年度相比，一般公共预算财政拨款支出增加</w:t>
      </w:r>
      <w:r>
        <w:rPr>
          <w:rFonts w:hint="eastAsia" w:ascii="仿宋_GB2312" w:eastAsia="仿宋_GB2312"/>
          <w:sz w:val="32"/>
          <w:szCs w:val="32"/>
          <w:highlight w:val="none"/>
          <w:lang w:val="en-US" w:eastAsia="zh-CN"/>
        </w:rPr>
        <w:t>1412.69</w:t>
      </w:r>
      <w:r>
        <w:rPr>
          <w:rFonts w:hint="eastAsia" w:ascii="仿宋_GB2312" w:eastAsia="仿宋_GB2312"/>
          <w:sz w:val="32"/>
          <w:szCs w:val="32"/>
          <w:highlight w:val="none"/>
        </w:rPr>
        <w:t>万元，增长</w:t>
      </w:r>
      <w:r>
        <w:rPr>
          <w:rFonts w:hint="eastAsia" w:ascii="仿宋_GB2312" w:eastAsia="仿宋_GB2312"/>
          <w:sz w:val="32"/>
          <w:szCs w:val="32"/>
          <w:highlight w:val="none"/>
          <w:lang w:val="en-US" w:eastAsia="zh-CN"/>
        </w:rPr>
        <w:t>33.07</w:t>
      </w:r>
      <w:r>
        <w:rPr>
          <w:rFonts w:hint="eastAsia" w:ascii="仿宋_GB2312" w:eastAsia="仿宋_GB2312"/>
          <w:sz w:val="32"/>
          <w:szCs w:val="32"/>
          <w:highlight w:val="none"/>
        </w:rPr>
        <w:t>%。主要原因是是</w:t>
      </w:r>
      <w:r>
        <w:rPr>
          <w:rFonts w:hint="eastAsia" w:ascii="仿宋_GB2312" w:eastAsia="仿宋_GB2312"/>
          <w:sz w:val="32"/>
          <w:szCs w:val="32"/>
          <w:highlight w:val="none"/>
          <w:lang w:val="en-US" w:eastAsia="zh-CN"/>
        </w:rPr>
        <w:t>2019年第一季度优抚经费仍由民政局发放及2020年重点优抚对象抚恤标准提高</w:t>
      </w:r>
      <w:r>
        <w:rPr>
          <w:rFonts w:hint="eastAsia" w:ascii="仿宋_GB2312" w:eastAsia="仿宋_GB2312"/>
          <w:sz w:val="32"/>
          <w:szCs w:val="32"/>
          <w:highlight w:val="none"/>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（二）结构情况。</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highlight w:val="none"/>
          <w:lang w:eastAsia="zh-CN"/>
        </w:rPr>
      </w:pPr>
      <w:r>
        <w:rPr>
          <w:rFonts w:hint="eastAsia" w:ascii="仿宋_GB2312" w:eastAsia="仿宋_GB2312"/>
          <w:sz w:val="32"/>
          <w:szCs w:val="32"/>
          <w:highlight w:val="none"/>
        </w:rPr>
        <w:t>2020年度一般公共预算财政拨款支出</w:t>
      </w:r>
      <w:r>
        <w:rPr>
          <w:rFonts w:hint="eastAsia" w:ascii="仿宋_GB2312" w:eastAsia="仿宋_GB2312"/>
          <w:sz w:val="32"/>
          <w:szCs w:val="32"/>
          <w:highlight w:val="none"/>
          <w:lang w:val="en-US" w:eastAsia="zh-CN"/>
        </w:rPr>
        <w:t>5685.05</w:t>
      </w:r>
      <w:r>
        <w:rPr>
          <w:rFonts w:hint="eastAsia" w:ascii="仿宋_GB2312" w:eastAsia="仿宋_GB2312"/>
          <w:sz w:val="32"/>
          <w:szCs w:val="32"/>
          <w:highlight w:val="none"/>
        </w:rPr>
        <w:t>万元，主要用于以下方面：</w:t>
      </w:r>
      <w:r>
        <w:rPr>
          <w:rFonts w:hint="eastAsia" w:ascii="仿宋_GB2312" w:eastAsia="仿宋_GB2312"/>
          <w:sz w:val="32"/>
          <w:szCs w:val="32"/>
          <w:highlight w:val="none"/>
          <w:lang w:val="en-US" w:eastAsia="zh-CN"/>
        </w:rPr>
        <w:t>社会保障和就业支出5570.86万元，占98%，卫生健康支出107.81万元，</w:t>
      </w:r>
      <w:r>
        <w:rPr>
          <w:rFonts w:hint="eastAsia" w:ascii="仿宋_GB2312" w:eastAsia="仿宋_GB2312"/>
          <w:sz w:val="32"/>
          <w:szCs w:val="32"/>
          <w:highlight w:val="none"/>
        </w:rPr>
        <w:t>占</w:t>
      </w:r>
      <w:r>
        <w:rPr>
          <w:rFonts w:hint="eastAsia" w:ascii="仿宋_GB2312" w:eastAsia="仿宋_GB2312"/>
          <w:sz w:val="32"/>
          <w:szCs w:val="32"/>
          <w:highlight w:val="none"/>
          <w:lang w:val="en-US" w:eastAsia="zh-CN"/>
        </w:rPr>
        <w:t>1.99</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住房保障支出6</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3</w:t>
      </w:r>
      <w:r>
        <w:rPr>
          <w:rFonts w:hint="eastAsia" w:ascii="仿宋_GB2312" w:eastAsia="仿宋_GB2312"/>
          <w:sz w:val="32"/>
          <w:szCs w:val="32"/>
          <w:highlight w:val="none"/>
          <w:lang w:val="en-US" w:eastAsia="zh-CN"/>
        </w:rPr>
        <w:t>7万元占0.01%</w:t>
      </w:r>
      <w:r>
        <w:rPr>
          <w:rFonts w:hint="eastAsia" w:ascii="仿宋_GB2312" w:eastAsia="仿宋_GB2312"/>
          <w:sz w:val="32"/>
          <w:szCs w:val="32"/>
          <w:highlight w:val="none"/>
          <w:lang w:eastAsia="zh-CN"/>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（三）具体情况。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2020 年度一般公共预算财政拨款支出年初预算为</w:t>
      </w:r>
      <w:r>
        <w:rPr>
          <w:rFonts w:hint="eastAsia" w:ascii="仿宋_GB2312" w:eastAsia="仿宋_GB2312"/>
          <w:sz w:val="32"/>
          <w:szCs w:val="32"/>
          <w:highlight w:val="none"/>
          <w:lang w:val="en-US" w:eastAsia="zh-CN"/>
        </w:rPr>
        <w:t>5685.05</w:t>
      </w:r>
      <w:r>
        <w:rPr>
          <w:rFonts w:hint="eastAsia" w:ascii="仿宋_GB2312" w:eastAsia="仿宋_GB2312"/>
          <w:sz w:val="32"/>
          <w:szCs w:val="32"/>
          <w:highlight w:val="none"/>
        </w:rPr>
        <w:t>万元，支出决算</w:t>
      </w:r>
      <w:r>
        <w:rPr>
          <w:rFonts w:hint="eastAsia" w:ascii="仿宋_GB2312" w:eastAsia="仿宋_GB2312"/>
          <w:sz w:val="32"/>
          <w:szCs w:val="32"/>
          <w:highlight w:val="none"/>
          <w:lang w:val="en-US" w:eastAsia="zh-CN"/>
        </w:rPr>
        <w:t>5685.05</w:t>
      </w:r>
      <w:r>
        <w:rPr>
          <w:rFonts w:hint="eastAsia" w:ascii="仿宋_GB2312" w:eastAsia="仿宋_GB2312"/>
          <w:sz w:val="32"/>
          <w:szCs w:val="32"/>
          <w:highlight w:val="none"/>
        </w:rPr>
        <w:t>万元，完成年初预算的</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%。其中：</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1、社会保障和就业支出（类）行政事业单位离退休（款）机关事业单位基本养老保险缴费支出（项）年初预算6.55万元，支出决算6.55万元，完成年初预算的100%。</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2、社会保障和就业支出（类）抚恤（款）其他优抚支出（项）年初预算4011.58万元，支出决算4011.58万元，完成年初预算的100%。</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3、社会保障和就业支出（类）退役安置（款）退役士兵安置（项）年初预算929.87万元，支出决算929.87万元，完成年初预算的100%。</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4、社会保障和就业支出（类）退役军人管理事务（款）行政运行（项）年初预算207万元，支出决算207万元，完成年初预算的100%。</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5、社会保障和就业支出（类）退役军人管理事务（款）事业运行（项）年初预算21.70万元，支出决算21.70万元，完成年初预算的100%。</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6、社会保障和就业支出（类）退役军人管理事务（款）其他退役军人事务管理支出（项）年初预算389.22万元，支出决算389.22万元，完成年初预算的100%。</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7、社会保障和就业支出（类）其他社会保障和就业支出（款）其他社会保障和就业支出（项）年初预算4.93万元，支出决算4.93万元，完成年初预算的100%</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8、卫生健康支出（类）行政事业单位医疗（款）行政单位医疗（项）年初预算4.35万元，支出决算4.35万元，完成年初预算的100%。</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9、卫生健康支出（类）行政事业单位医疗（款）事业单位医疗（项）年初预算1.46万元，支出决算1.46万元，完成年初预算的100%。</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10、卫生健康支出（类）优抚事业单位医疗（款）优抚对象医疗补助（项）年初预算102万元，支出决算102万元，完成年初预算的100%。</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11、住房保障支出（类）住房改革支出（款）住房公积金（项）年初预算6.37万元，支出决算6.37万元，完成年初预算的100%。</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六、一般公共预算财政拨款基本支出决算情况说明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2020 年度一般公共预算财政拨款基本支</w:t>
      </w:r>
      <w:r>
        <w:rPr>
          <w:rFonts w:hint="eastAsia" w:ascii="仿宋_GB2312" w:eastAsia="仿宋_GB2312"/>
          <w:sz w:val="32"/>
          <w:szCs w:val="32"/>
          <w:highlight w:val="none"/>
          <w:lang w:eastAsia="zh-CN"/>
        </w:rPr>
        <w:t>出</w:t>
      </w:r>
      <w:r>
        <w:rPr>
          <w:rFonts w:hint="eastAsia" w:ascii="仿宋_GB2312" w:eastAsia="仿宋_GB2312"/>
          <w:sz w:val="32"/>
          <w:szCs w:val="32"/>
          <w:highlight w:val="none"/>
          <w:lang w:val="en-US" w:eastAsia="zh-CN"/>
        </w:rPr>
        <w:t>247.43</w:t>
      </w:r>
      <w:r>
        <w:rPr>
          <w:rFonts w:hint="eastAsia" w:ascii="仿宋_GB2312" w:eastAsia="仿宋_GB2312"/>
          <w:sz w:val="32"/>
          <w:szCs w:val="32"/>
          <w:highlight w:val="none"/>
        </w:rPr>
        <w:t>万元。其中：人员经费</w:t>
      </w:r>
      <w:r>
        <w:rPr>
          <w:rFonts w:hint="eastAsia" w:ascii="仿宋_GB2312" w:eastAsia="仿宋_GB2312"/>
          <w:sz w:val="32"/>
          <w:szCs w:val="32"/>
          <w:highlight w:val="none"/>
          <w:lang w:val="en-US" w:eastAsia="zh-CN"/>
        </w:rPr>
        <w:t>146.47</w:t>
      </w:r>
      <w:r>
        <w:rPr>
          <w:rFonts w:hint="eastAsia" w:ascii="仿宋_GB2312" w:eastAsia="仿宋_GB2312"/>
          <w:sz w:val="32"/>
          <w:szCs w:val="32"/>
          <w:highlight w:val="none"/>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缴费、职业年金缴费、其他社会保障缴费、其他工资福利支出、离休费、退休费、抚恤金、生活补助、医疗费、奖励金、住房公积金、采暖补贴、物业服务补贴、其他对个人和家庭的补助支出；公用经费</w:t>
      </w:r>
      <w:r>
        <w:rPr>
          <w:rFonts w:hint="eastAsia" w:ascii="仿宋_GB2312" w:eastAsia="仿宋_GB2312"/>
          <w:sz w:val="32"/>
          <w:szCs w:val="32"/>
          <w:highlight w:val="none"/>
          <w:lang w:val="en-US" w:eastAsia="zh-CN"/>
        </w:rPr>
        <w:t>100.96</w:t>
      </w:r>
      <w:r>
        <w:rPr>
          <w:rFonts w:hint="eastAsia" w:ascii="仿宋_GB2312" w:eastAsia="仿宋_GB2312"/>
          <w:sz w:val="32"/>
          <w:szCs w:val="32"/>
          <w:highlight w:val="none"/>
        </w:rPr>
        <w:t>万元，主要包括：办公费、印刷费、咨询费、手续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 更新、其他资本性支出。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七、一般公共预算财政拨款“三公”经费支出决算情况说明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（一）“三公”经费财政拨款支出决算总体情况说明。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2020 年度“三公”经费财政拨款支出预算为</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万元，支出决算为</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万元，完成预算的</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（二）“三公”经费财政拨款支出决算具体情况说明。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2020 年度“三公”经费财政拨款支出决算中，因公出国（境）费支出决算0.00万元，完成预算的 0.00%，占0.00%；公务用车购置及运行费支出决算0.00万元，完成预算的0.00%，占0.00%；公务接待费支出决算</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 xml:space="preserve">万元，完成预算的 </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%，占100.00%；具体情况如下：</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1．因公出国（境）费年初预算为 0.00万元，支出决算为0.00 万元，完成年初预算的0.00%，决算数与年初预算数存在差异的主要原因是</w:t>
      </w:r>
      <w:r>
        <w:rPr>
          <w:rFonts w:hint="eastAsia" w:ascii="仿宋_GB2312" w:eastAsia="仿宋_GB2312"/>
          <w:sz w:val="32"/>
          <w:szCs w:val="32"/>
          <w:highlight w:val="none"/>
          <w:lang w:eastAsia="zh-CN"/>
        </w:rPr>
        <w:t>无</w:t>
      </w:r>
      <w:r>
        <w:rPr>
          <w:rFonts w:hint="eastAsia" w:ascii="仿宋_GB2312" w:eastAsia="仿宋_GB2312"/>
          <w:sz w:val="32"/>
          <w:szCs w:val="32"/>
          <w:highlight w:val="none"/>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因公出国（境）团组数0个，因公出国（境）人次数0人。</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2． 公务用车购置及运行费年初预算为0万元，支出决算为 0万元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公务用车购置支出0万元，购置车辆</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台</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公务用车运行支出0万元。</w:t>
      </w:r>
      <w:r>
        <w:rPr>
          <w:rFonts w:hint="eastAsia" w:ascii="仿宋_GB2312" w:eastAsia="仿宋_GB2312"/>
          <w:sz w:val="32"/>
          <w:szCs w:val="32"/>
          <w:highlight w:val="none"/>
        </w:rPr>
        <w:t>2020年期末，单位开支财政拨款的公务用车</w:t>
      </w:r>
      <w:bookmarkStart w:id="0" w:name="_GoBack"/>
      <w:bookmarkEnd w:id="0"/>
      <w:r>
        <w:rPr>
          <w:rFonts w:hint="eastAsia" w:ascii="仿宋_GB2312" w:eastAsia="仿宋_GB2312"/>
          <w:sz w:val="32"/>
          <w:szCs w:val="32"/>
          <w:highlight w:val="none"/>
        </w:rPr>
        <w:t>保有量为</w:t>
      </w:r>
      <w:r>
        <w:rPr>
          <w:rFonts w:hint="eastAsia" w:ascii="仿宋_GB2312" w:eastAsia="仿宋_GB2312"/>
          <w:sz w:val="32"/>
          <w:szCs w:val="32"/>
          <w:highlight w:val="none"/>
          <w:lang w:val="en-US" w:eastAsia="zh-CN"/>
        </w:rPr>
        <w:t>0辆</w:t>
      </w:r>
      <w:r>
        <w:rPr>
          <w:rFonts w:hint="eastAsia" w:ascii="仿宋_GB2312" w:eastAsia="仿宋_GB2312"/>
          <w:sz w:val="32"/>
          <w:szCs w:val="32"/>
          <w:highlight w:val="none"/>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3. 公务接待费年初预算为</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万元，支出决算为</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万元，完成年初预算的</w:t>
      </w:r>
      <w:r>
        <w:rPr>
          <w:rFonts w:hint="eastAsia" w:ascii="仿宋_GB2312" w:eastAsia="仿宋_GB2312"/>
          <w:sz w:val="32"/>
          <w:szCs w:val="32"/>
          <w:highlight w:val="none"/>
          <w:lang w:val="en-US" w:eastAsia="zh-CN"/>
        </w:rPr>
        <w:t>10</w:t>
      </w:r>
      <w:r>
        <w:rPr>
          <w:rFonts w:hint="eastAsia" w:ascii="仿宋_GB2312" w:eastAsia="仿宋_GB2312"/>
          <w:sz w:val="32"/>
          <w:szCs w:val="32"/>
          <w:highlight w:val="none"/>
        </w:rPr>
        <w:t>0%。2020年共接待国内来访团组</w:t>
      </w:r>
      <w:r>
        <w:rPr>
          <w:rFonts w:hint="eastAsia" w:ascii="仿宋_GB2312" w:eastAsia="仿宋_GB2312"/>
          <w:sz w:val="32"/>
          <w:szCs w:val="32"/>
          <w:highlight w:val="none"/>
          <w:lang w:val="en-US" w:eastAsia="zh-CN"/>
        </w:rPr>
        <w:t>143</w:t>
      </w:r>
      <w:r>
        <w:rPr>
          <w:rFonts w:hint="eastAsia" w:ascii="仿宋_GB2312" w:eastAsia="仿宋_GB2312"/>
          <w:sz w:val="32"/>
          <w:szCs w:val="32"/>
          <w:highlight w:val="none"/>
        </w:rPr>
        <w:t>个、来宾</w:t>
      </w:r>
      <w:r>
        <w:rPr>
          <w:rFonts w:hint="eastAsia" w:ascii="仿宋_GB2312" w:eastAsia="仿宋_GB2312"/>
          <w:sz w:val="32"/>
          <w:szCs w:val="32"/>
          <w:highlight w:val="none"/>
          <w:lang w:val="en-US" w:eastAsia="zh-CN"/>
        </w:rPr>
        <w:t>467</w:t>
      </w:r>
      <w:r>
        <w:rPr>
          <w:rFonts w:hint="eastAsia" w:ascii="仿宋_GB2312" w:eastAsia="仿宋_GB2312"/>
          <w:sz w:val="32"/>
          <w:szCs w:val="32"/>
          <w:highlight w:val="none"/>
        </w:rPr>
        <w:t>人次（不包括陪同人员）。</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八、预算绩效情况说明</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highlight w:val="none"/>
          <w:lang w:eastAsia="zh-CN"/>
        </w:rPr>
      </w:pPr>
      <w:r>
        <w:rPr>
          <w:rFonts w:hint="eastAsia" w:ascii="仿宋_GB2312" w:eastAsia="仿宋_GB2312"/>
          <w:sz w:val="32"/>
          <w:szCs w:val="32"/>
          <w:highlight w:val="none"/>
        </w:rPr>
        <w:t>2020年退役军人事务局没有开展项目预算绩效评价</w:t>
      </w:r>
      <w:r>
        <w:rPr>
          <w:rFonts w:hint="eastAsia" w:ascii="仿宋_GB2312" w:eastAsia="仿宋_GB2312"/>
          <w:sz w:val="32"/>
          <w:szCs w:val="32"/>
          <w:highlight w:val="none"/>
          <w:lang w:eastAsia="zh-CN"/>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九、政府性基金预算财政拨款支出决算情况说明</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highlight w:val="none"/>
          <w:lang w:eastAsia="zh-CN"/>
        </w:rPr>
      </w:pPr>
      <w:r>
        <w:rPr>
          <w:rFonts w:hint="eastAsia" w:ascii="仿宋_GB2312" w:eastAsia="仿宋_GB2312"/>
          <w:sz w:val="32"/>
          <w:szCs w:val="32"/>
          <w:highlight w:val="none"/>
        </w:rPr>
        <w:t>2020 年度政府性基金预算财政拨款支出年初预算为0万元，支出决算为 0万元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eastAsia="zh-CN"/>
        </w:rPr>
        <w:t>2020年无政府性基金收入，也没有政府性基金安排的支出。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十、机关运行经费支出情况说明</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highlight w:val="none"/>
        </w:rPr>
      </w:pPr>
      <w:r>
        <w:rPr>
          <w:rFonts w:hint="eastAsia" w:ascii="仿宋_GB2312" w:eastAsia="仿宋_GB2312"/>
          <w:sz w:val="32"/>
          <w:szCs w:val="32"/>
          <w:highlight w:val="none"/>
        </w:rPr>
        <w:t>2020年度机关运行经费初预算为98</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3</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万元，支出决算为98</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3</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万元，完成年初预算的</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十一、政府采购支出情况说明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2020 年度政府采购支出总额</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万元，其中：政府采购货物支出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万元、政府采购工程支出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万元、政府采购服务支出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万元。授予中 小企业合同金额</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万元，占政府采购支出总额的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%，其中：授予小微企业合同金额</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万元，占政府采购支出总额的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十二、国有资产占用情况说明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r>
        <w:rPr>
          <w:rFonts w:hint="eastAsia" w:ascii="仿宋_GB2312" w:eastAsia="仿宋_GB2312"/>
          <w:sz w:val="32"/>
          <w:szCs w:val="32"/>
          <w:highlight w:val="none"/>
        </w:rPr>
        <w:t>2020年期末，我单位共有车辆</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辆，其中：省级领导干部用车0辆、主要领导干部用车 0辆、机要通信用车0辆、应急保障车0辆、执法执勤用车 0辆、特种专业技术用车0辆、离退休干部用车0辆、其他用车</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辆；单位价值50万元以上通用设备</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台（套），单位价值100万元以上专用设备</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台（套）。</w:t>
      </w:r>
    </w:p>
    <w:p>
      <w:pPr>
        <w:pStyle w:val="4"/>
        <w:shd w:val="clear" w:color="auto" w:fill="FFFFFF"/>
        <w:spacing w:before="0" w:beforeAutospacing="0" w:after="0" w:afterAutospacing="0"/>
        <w:ind w:left="161" w:leftChars="67" w:firstLine="480" w:firstLineChars="150"/>
        <w:rPr>
          <w:rFonts w:ascii="仿宋_GB2312" w:eastAsia="仿宋_GB2312"/>
          <w:sz w:val="32"/>
          <w:szCs w:val="32"/>
          <w:highlight w:val="none"/>
        </w:r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名词解释</w:t>
      </w:r>
    </w:p>
    <w:p>
      <w:pPr>
        <w:spacing w:line="590" w:lineRule="exact"/>
        <w:ind w:firstLine="640" w:firstLineChars="200"/>
        <w:rPr>
          <w:rFonts w:ascii="仿宋_GB2312" w:hAnsi="仿宋_GB2312" w:eastAsia="仿宋_GB2312" w:cs="仿宋_GB2312"/>
          <w:sz w:val="32"/>
          <w:szCs w:val="32"/>
          <w:highlight w:val="none"/>
        </w:rPr>
      </w:pP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highlight w:val="none"/>
        </w:rPr>
      </w:pPr>
    </w:p>
    <w:p>
      <w:pPr>
        <w:jc w:val="center"/>
        <w:outlineLvl w:val="0"/>
        <w:rPr>
          <w:rFonts w:ascii="黑体" w:hAnsi="黑体" w:eastAsia="黑体" w:cs="黑体"/>
          <w:sz w:val="32"/>
          <w:szCs w:val="32"/>
          <w:highlight w:val="none"/>
        </w:rPr>
      </w:pPr>
      <w:r>
        <w:rPr>
          <w:rFonts w:hint="eastAsia" w:ascii="黑体" w:hAnsi="黑体" w:eastAsia="黑体" w:cs="黑体"/>
          <w:sz w:val="32"/>
          <w:szCs w:val="32"/>
          <w:highlight w:val="none"/>
        </w:rPr>
        <w:t>第四部分</w:t>
      </w:r>
    </w:p>
    <w:p>
      <w:pPr>
        <w:jc w:val="center"/>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罗山县退役军人事务</w:t>
      </w:r>
      <w:r>
        <w:rPr>
          <w:rFonts w:hint="eastAsia" w:ascii="黑体" w:hAnsi="黑体" w:eastAsia="黑体" w:cs="黑体"/>
          <w:sz w:val="32"/>
          <w:szCs w:val="32"/>
          <w:highlight w:val="none"/>
        </w:rPr>
        <w:t>局2020年度部门决算公开表</w:t>
      </w:r>
    </w:p>
    <w:p>
      <w:pPr>
        <w:rPr>
          <w:rFonts w:ascii="黑体" w:eastAsia="黑体"/>
          <w:color w:val="000000"/>
          <w:sz w:val="28"/>
          <w:szCs w:val="28"/>
          <w:highlight w:val="none"/>
        </w:rPr>
      </w:pPr>
    </w:p>
    <w:p>
      <w:pPr>
        <w:rPr>
          <w:highlight w:val="none"/>
        </w:rPr>
      </w:pPr>
      <w:r>
        <w:rPr>
          <w:rFonts w:hint="eastAsia" w:ascii="仿宋_GB2312" w:eastAsia="仿宋_GB2312"/>
          <w:color w:val="000000"/>
          <w:sz w:val="32"/>
          <w:szCs w:val="32"/>
          <w:highlight w:val="none"/>
        </w:rPr>
        <w:t>说明：表中单元格数据为空时，表示该单元格数据为零；整张表数据为空时，表示部门该表中所有数据均为零，当年无表中相关收支。</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SimSun-ExtB"/>
    <w:panose1 w:val="00000000000000000000"/>
    <w:charset w:val="86"/>
    <w:family w:val="script"/>
    <w:pitch w:val="default"/>
    <w:sig w:usb0="00000000" w:usb1="00000000" w:usb2="00000010" w:usb3="00000000" w:csb0="003C0041" w:csb1="00000000"/>
  </w:font>
  <w:font w:name="SimSun-ExtB">
    <w:panose1 w:val="02010609060101010101"/>
    <w:charset w:val="86"/>
    <w:family w:val="auto"/>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FB2A0"/>
    <w:multiLevelType w:val="singleLevel"/>
    <w:tmpl w:val="890FB2A0"/>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2NjI0NzAyNTBjYzUyZmQxMDdmNGQxYzI4MDA2YmIifQ=="/>
  </w:docVars>
  <w:rsids>
    <w:rsidRoot w:val="00380C49"/>
    <w:rsid w:val="0005518E"/>
    <w:rsid w:val="000D3621"/>
    <w:rsid w:val="001C7E92"/>
    <w:rsid w:val="00380C49"/>
    <w:rsid w:val="00463B25"/>
    <w:rsid w:val="004C77BC"/>
    <w:rsid w:val="00582974"/>
    <w:rsid w:val="006C602E"/>
    <w:rsid w:val="007169BE"/>
    <w:rsid w:val="0087510B"/>
    <w:rsid w:val="008B058C"/>
    <w:rsid w:val="008F0429"/>
    <w:rsid w:val="008F5B3A"/>
    <w:rsid w:val="009008AB"/>
    <w:rsid w:val="00B07176"/>
    <w:rsid w:val="00B30B3E"/>
    <w:rsid w:val="00C53051"/>
    <w:rsid w:val="00C73F3D"/>
    <w:rsid w:val="00CA1E5C"/>
    <w:rsid w:val="00CB1114"/>
    <w:rsid w:val="00CE118F"/>
    <w:rsid w:val="00D45C75"/>
    <w:rsid w:val="00D60397"/>
    <w:rsid w:val="00E23DC1"/>
    <w:rsid w:val="00E91CCC"/>
    <w:rsid w:val="00FD03C9"/>
    <w:rsid w:val="011F79FA"/>
    <w:rsid w:val="0A6E32B5"/>
    <w:rsid w:val="16280CD1"/>
    <w:rsid w:val="299C69ED"/>
    <w:rsid w:val="2D8F2B56"/>
    <w:rsid w:val="39F1677E"/>
    <w:rsid w:val="3ED91673"/>
    <w:rsid w:val="4960151D"/>
    <w:rsid w:val="56BC3182"/>
    <w:rsid w:val="594E169E"/>
    <w:rsid w:val="5ECD4FB9"/>
    <w:rsid w:val="64CE100C"/>
    <w:rsid w:val="6A582A32"/>
    <w:rsid w:val="743D3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customStyle="1" w:styleId="7">
    <w:name w:val="页眉 Char"/>
    <w:basedOn w:val="6"/>
    <w:link w:val="3"/>
    <w:semiHidden/>
    <w:qFormat/>
    <w:uiPriority w:val="99"/>
    <w:rPr>
      <w:rFonts w:ascii="宋体" w:hAnsi="宋体" w:eastAsia="宋体" w:cs="宋体"/>
      <w:kern w:val="0"/>
      <w:sz w:val="18"/>
      <w:szCs w:val="18"/>
    </w:rPr>
  </w:style>
  <w:style w:type="character" w:customStyle="1" w:styleId="8">
    <w:name w:val="页脚 Char"/>
    <w:basedOn w:val="6"/>
    <w:link w:val="2"/>
    <w:semiHidden/>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5110</Words>
  <Characters>5590</Characters>
  <Lines>31</Lines>
  <Paragraphs>8</Paragraphs>
  <TotalTime>12</TotalTime>
  <ScaleCrop>false</ScaleCrop>
  <LinksUpToDate>false</LinksUpToDate>
  <CharactersWithSpaces>5632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拥有你就拥有了全世界。</cp:lastModifiedBy>
  <cp:lastPrinted>2022-09-02T07:12:00Z</cp:lastPrinted>
  <dcterms:modified xsi:type="dcterms:W3CDTF">2022-09-06T01:06:45Z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26DD14B129754D84A67845E568FD31F6</vt:lpwstr>
  </property>
</Properties>
</file>