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Style w:val="6"/>
          <w:rFonts w:hint="eastAsia" w:ascii="楷体" w:hAnsi="楷体" w:eastAsia="楷体" w:cs="楷体"/>
          <w:color w:val="666666"/>
          <w:kern w:val="0"/>
          <w:sz w:val="39"/>
          <w:szCs w:val="39"/>
          <w:shd w:val="clear" w:color="auto" w:fill="FFFFFF"/>
          <w:lang w:eastAsia="zh-CN"/>
        </w:rPr>
      </w:pPr>
      <w:r>
        <w:rPr>
          <w:rStyle w:val="6"/>
          <w:rFonts w:ascii="楷体" w:hAnsi="楷体" w:eastAsia="楷体" w:cs="楷体"/>
          <w:color w:val="666666"/>
          <w:kern w:val="0"/>
          <w:sz w:val="39"/>
          <w:szCs w:val="39"/>
          <w:shd w:val="clear" w:color="auto" w:fill="FFFFFF"/>
        </w:rPr>
        <w:t>202</w:t>
      </w:r>
      <w:r>
        <w:rPr>
          <w:rStyle w:val="6"/>
          <w:rFonts w:hint="eastAsia" w:ascii="楷体" w:hAnsi="楷体" w:eastAsia="楷体" w:cs="楷体"/>
          <w:color w:val="666666"/>
          <w:kern w:val="0"/>
          <w:sz w:val="39"/>
          <w:szCs w:val="39"/>
          <w:shd w:val="clear" w:color="auto" w:fill="FFFFFF"/>
          <w:lang w:val="en-US" w:eastAsia="zh-CN"/>
        </w:rPr>
        <w:t>2</w:t>
      </w:r>
      <w:r>
        <w:rPr>
          <w:rStyle w:val="6"/>
          <w:rFonts w:ascii="楷体" w:hAnsi="楷体" w:eastAsia="楷体" w:cs="楷体"/>
          <w:color w:val="666666"/>
          <w:kern w:val="0"/>
          <w:sz w:val="39"/>
          <w:szCs w:val="39"/>
          <w:shd w:val="clear" w:color="auto" w:fill="FFFFFF"/>
        </w:rPr>
        <w:t>年</w:t>
      </w:r>
      <w:r>
        <w:rPr>
          <w:rStyle w:val="6"/>
          <w:rFonts w:hint="eastAsia" w:ascii="楷体" w:hAnsi="楷体" w:eastAsia="楷体" w:cs="楷体"/>
          <w:color w:val="666666"/>
          <w:kern w:val="0"/>
          <w:sz w:val="39"/>
          <w:szCs w:val="39"/>
          <w:shd w:val="clear" w:color="auto" w:fill="FFFFFF"/>
          <w:lang w:eastAsia="zh-CN"/>
        </w:rPr>
        <w:t>罗山县</w:t>
      </w:r>
      <w:r>
        <w:rPr>
          <w:rStyle w:val="6"/>
          <w:rFonts w:ascii="楷体" w:hAnsi="楷体" w:eastAsia="楷体" w:cs="楷体"/>
          <w:color w:val="666666"/>
          <w:kern w:val="0"/>
          <w:sz w:val="39"/>
          <w:szCs w:val="39"/>
          <w:shd w:val="clear" w:color="auto" w:fill="FFFFFF"/>
        </w:rPr>
        <w:t>财政局</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9"/>
          <w:szCs w:val="39"/>
          <w:shd w:val="clear" w:color="auto" w:fill="FFFFFF"/>
        </w:rPr>
        <w:t>部门预算公开</w:t>
      </w:r>
    </w:p>
    <w:p>
      <w:pPr>
        <w:widowControl/>
        <w:shd w:val="clear" w:color="auto" w:fill="FFFFFF"/>
        <w:spacing w:before="300" w:line="420" w:lineRule="atLeast"/>
        <w:rPr>
          <w:rFonts w:ascii="微软雅黑" w:hAnsi="微软雅黑" w:eastAsia="微软雅黑" w:cs="微软雅黑"/>
          <w:color w:val="666666"/>
          <w:szCs w:val="21"/>
        </w:rPr>
      </w:pPr>
      <w:r>
        <w:rPr>
          <w:rFonts w:hint="eastAsia" w:ascii="楷体" w:hAnsi="楷体" w:eastAsia="楷体" w:cs="楷体"/>
          <w:color w:val="666666"/>
          <w:kern w:val="0"/>
          <w:sz w:val="39"/>
          <w:szCs w:val="39"/>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6"/>
          <w:szCs w:val="36"/>
          <w:shd w:val="clear" w:color="auto" w:fill="FFFFFF"/>
        </w:rPr>
        <w:t>目 录</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0"/>
          <w:szCs w:val="30"/>
          <w:shd w:val="clear" w:color="auto" w:fill="FFFFFF"/>
        </w:rPr>
        <w:t>第一部分 </w:t>
      </w:r>
      <w:r>
        <w:rPr>
          <w:rStyle w:val="6"/>
          <w:rFonts w:hint="eastAsia" w:ascii="楷体" w:hAnsi="楷体" w:eastAsia="楷体" w:cs="楷体"/>
          <w:color w:val="666666"/>
          <w:kern w:val="0"/>
          <w:sz w:val="30"/>
          <w:szCs w:val="30"/>
          <w:shd w:val="clear" w:color="auto" w:fill="FFFFFF"/>
          <w:lang w:eastAsia="zh-CN"/>
        </w:rPr>
        <w:t>罗山县</w:t>
      </w:r>
      <w:r>
        <w:rPr>
          <w:rStyle w:val="6"/>
          <w:rFonts w:hint="eastAsia" w:ascii="楷体" w:hAnsi="楷体" w:eastAsia="楷体" w:cs="楷体"/>
          <w:color w:val="666666"/>
          <w:kern w:val="0"/>
          <w:sz w:val="30"/>
          <w:szCs w:val="30"/>
          <w:shd w:val="clear" w:color="auto" w:fill="FFFFFF"/>
        </w:rPr>
        <w:t>财政局概况 </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一、主要职能</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二、机构设置</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三、部门预算单位构成</w:t>
      </w:r>
    </w:p>
    <w:p>
      <w:pPr>
        <w:widowControl/>
        <w:shd w:val="clear" w:color="auto" w:fill="FFFFFF"/>
        <w:spacing w:line="420" w:lineRule="atLeast"/>
        <w:jc w:val="center"/>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第二部分 </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财政局202</w:t>
      </w:r>
      <w:r>
        <w:rPr>
          <w:rStyle w:val="6"/>
          <w:rFonts w:hint="eastAsia" w:ascii="楷体" w:hAnsi="楷体" w:eastAsia="楷体" w:cs="楷体"/>
          <w:color w:val="666666"/>
          <w:kern w:val="0"/>
          <w:sz w:val="27"/>
          <w:szCs w:val="27"/>
          <w:shd w:val="clear" w:color="auto" w:fill="FFFFFF"/>
          <w:lang w:val="en-US" w:eastAsia="zh-CN"/>
        </w:rPr>
        <w:t>2</w:t>
      </w:r>
      <w:r>
        <w:rPr>
          <w:rStyle w:val="6"/>
          <w:rFonts w:hint="eastAsia" w:ascii="楷体" w:hAnsi="楷体" w:eastAsia="楷体" w:cs="楷体"/>
          <w:color w:val="666666"/>
          <w:kern w:val="0"/>
          <w:sz w:val="27"/>
          <w:szCs w:val="27"/>
          <w:shd w:val="clear" w:color="auto" w:fill="FFFFFF"/>
        </w:rPr>
        <w:t>年度部门预算情况说明 </w:t>
      </w:r>
    </w:p>
    <w:p>
      <w:pPr>
        <w:widowControl/>
        <w:shd w:val="clear" w:color="auto" w:fill="FFFFFF"/>
        <w:spacing w:line="420" w:lineRule="atLeast"/>
        <w:jc w:val="center"/>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第三部分 名词解释</w:t>
      </w:r>
    </w:p>
    <w:p>
      <w:pPr>
        <w:widowControl/>
        <w:shd w:val="clear" w:color="auto" w:fill="FFFFFF"/>
        <w:spacing w:line="420" w:lineRule="atLeast"/>
        <w:jc w:val="center"/>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附件： </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财政局202</w:t>
      </w:r>
      <w:r>
        <w:rPr>
          <w:rStyle w:val="6"/>
          <w:rFonts w:hint="eastAsia" w:ascii="楷体" w:hAnsi="楷体" w:eastAsia="楷体" w:cs="楷体"/>
          <w:color w:val="666666"/>
          <w:kern w:val="0"/>
          <w:sz w:val="27"/>
          <w:szCs w:val="27"/>
          <w:shd w:val="clear" w:color="auto" w:fill="FFFFFF"/>
          <w:lang w:val="en-US" w:eastAsia="zh-CN"/>
        </w:rPr>
        <w:t>2</w:t>
      </w:r>
      <w:r>
        <w:rPr>
          <w:rStyle w:val="6"/>
          <w:rFonts w:hint="eastAsia" w:ascii="楷体" w:hAnsi="楷体" w:eastAsia="楷体" w:cs="楷体"/>
          <w:color w:val="666666"/>
          <w:kern w:val="0"/>
          <w:sz w:val="27"/>
          <w:szCs w:val="27"/>
          <w:shd w:val="clear" w:color="auto" w:fill="FFFFFF"/>
        </w:rPr>
        <w:t>年度部门预算表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一、部门收支总体情况表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二、部门收入总体情况表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三、部门支出总体情况表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四、财政拨款收支总体情况表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五、一般公共预算支出情况表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六、一般公共预算基本支出情况表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七、一般公共预算“三公”经费支出情况表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八、政府性基金预算支出情况表</w:t>
      </w:r>
    </w:p>
    <w:p>
      <w:pPr>
        <w:widowControl/>
        <w:shd w:val="clear" w:color="auto" w:fill="FFFFFF"/>
        <w:spacing w:line="420" w:lineRule="atLeast"/>
        <w:jc w:val="center"/>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九、部门（单位）整体绩效目标表</w:t>
      </w:r>
    </w:p>
    <w:p>
      <w:pPr>
        <w:widowControl/>
        <w:spacing w:before="300"/>
        <w:jc w:val="left"/>
        <w:rPr>
          <w:rFonts w:hint="eastAsia" w:ascii="楷体" w:hAnsi="楷体" w:eastAsia="楷体" w:cs="楷体"/>
          <w:color w:val="666666"/>
          <w:kern w:val="0"/>
          <w:sz w:val="27"/>
          <w:szCs w:val="27"/>
          <w:shd w:val="clear" w:color="auto" w:fill="FFFFFF"/>
        </w:rPr>
      </w:pPr>
    </w:p>
    <w:p>
      <w:pPr>
        <w:widowControl/>
        <w:spacing w:before="300"/>
        <w:jc w:val="left"/>
      </w:pPr>
      <w:bookmarkStart w:id="0" w:name="_GoBack"/>
      <w:bookmarkEnd w:id="0"/>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第一部分</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财政局概况</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 </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一、</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财政局主要职责</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拟订全县财税发展规划、政策和改革方案并组织实施。分析预测宏观经济形势，参与制定宏观经济政策，提出运用财税政策实施宏观调控和综合平衡社会财力的建议。拟订县与乡（镇）、政府与企业的分配政策，完善鼓励公益事业发展的财税政策。</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起草全县财政、财务、会计管理的规章制度，并监督执行。</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3.</w:t>
      </w:r>
      <w:r>
        <w:rPr>
          <w:rFonts w:hint="eastAsia" w:ascii="楷体" w:hAnsi="楷体" w:eastAsia="楷体" w:cs="楷体"/>
          <w:color w:val="666666"/>
          <w:kern w:val="0"/>
          <w:sz w:val="27"/>
          <w:szCs w:val="27"/>
          <w:shd w:val="clear" w:color="auto" w:fill="FFFFFF"/>
        </w:rPr>
        <w:t>负责管理县级各项财政收支。编制年度</w:t>
      </w:r>
      <w:r>
        <w:rPr>
          <w:rFonts w:hint="eastAsia" w:ascii="楷体" w:hAnsi="楷体" w:eastAsia="楷体" w:cs="楷体"/>
          <w:color w:val="666666"/>
          <w:kern w:val="0"/>
          <w:sz w:val="27"/>
          <w:szCs w:val="27"/>
          <w:shd w:val="clear" w:color="auto" w:fill="FFFFFF"/>
          <w:lang w:val="zh-CN"/>
        </w:rPr>
        <w:t>县</w:t>
      </w:r>
      <w:r>
        <w:rPr>
          <w:rFonts w:hint="eastAsia" w:ascii="楷体" w:hAnsi="楷体" w:eastAsia="楷体" w:cs="楷体"/>
          <w:color w:val="666666"/>
          <w:kern w:val="0"/>
          <w:sz w:val="27"/>
          <w:szCs w:val="27"/>
          <w:shd w:val="clear" w:color="auto" w:fill="FFFFFF"/>
        </w:rPr>
        <w:t>级预决算草案并组织执行。组织制定经费开支标准、定额，审核批复部门(单位)年度预决算。受县政府委托，向县人民代表大会及其常委会报告财政预算、执行和决算等情况。负责政府投资基金</w:t>
      </w:r>
      <w:r>
        <w:rPr>
          <w:rFonts w:hint="eastAsia" w:ascii="楷体" w:hAnsi="楷体" w:eastAsia="楷体" w:cs="楷体"/>
          <w:color w:val="666666"/>
          <w:kern w:val="0"/>
          <w:sz w:val="27"/>
          <w:szCs w:val="27"/>
          <w:shd w:val="clear" w:color="auto" w:fill="FFFFFF"/>
          <w:lang w:val="zh-CN"/>
        </w:rPr>
        <w:t>县</w:t>
      </w:r>
      <w:r>
        <w:rPr>
          <w:rFonts w:hint="eastAsia" w:ascii="楷体" w:hAnsi="楷体" w:eastAsia="楷体" w:cs="楷体"/>
          <w:color w:val="666666"/>
          <w:kern w:val="0"/>
          <w:sz w:val="27"/>
          <w:szCs w:val="27"/>
          <w:shd w:val="clear" w:color="auto" w:fill="FFFFFF"/>
        </w:rPr>
        <w:t>级财政出资的资产管理。负责县级预决算公开。</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4.</w:t>
      </w:r>
      <w:r>
        <w:rPr>
          <w:rFonts w:hint="eastAsia" w:ascii="楷体" w:hAnsi="楷体" w:eastAsia="楷体" w:cs="楷体"/>
          <w:color w:val="666666"/>
          <w:kern w:val="0"/>
          <w:sz w:val="27"/>
          <w:szCs w:val="27"/>
          <w:shd w:val="clear" w:color="auto" w:fill="FFFFFF"/>
        </w:rPr>
        <w:t>按分工负责政府非税收入管理。负责政府性基金管理，按规定管理行政事业性收费。管理财政票据。按照彩票管理有关办法，监管彩票市场，按规定管理彩票资金。</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5.</w:t>
      </w:r>
      <w:r>
        <w:rPr>
          <w:rFonts w:hint="eastAsia" w:ascii="楷体" w:hAnsi="楷体" w:eastAsia="楷体" w:cs="楷体"/>
          <w:color w:val="666666"/>
          <w:kern w:val="0"/>
          <w:sz w:val="27"/>
          <w:szCs w:val="27"/>
          <w:shd w:val="clear" w:color="auto" w:fill="FFFFFF"/>
        </w:rPr>
        <w:t>组织制定全县国库管理制度、国库集中收付制度，指导和监督县级国库业务，开展国库现金管理工作。制定政府财务报告编制办法并组织实施。负责制定政府采购制度并监督管理。</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6.</w:t>
      </w:r>
      <w:r>
        <w:rPr>
          <w:rFonts w:hint="eastAsia" w:ascii="楷体" w:hAnsi="楷体" w:eastAsia="楷体" w:cs="楷体"/>
          <w:color w:val="666666"/>
          <w:kern w:val="0"/>
          <w:sz w:val="27"/>
          <w:szCs w:val="27"/>
          <w:shd w:val="clear" w:color="auto" w:fill="FFFFFF"/>
        </w:rPr>
        <w:t>依法拟订和执行地方政府债务管理制度和办法。负责管理地方政府债余额限额，统一管理政府外债。</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7.</w:t>
      </w:r>
      <w:r>
        <w:rPr>
          <w:rFonts w:hint="eastAsia" w:ascii="楷体" w:hAnsi="楷体" w:eastAsia="楷体" w:cs="楷体"/>
          <w:color w:val="666666"/>
          <w:kern w:val="0"/>
          <w:sz w:val="27"/>
          <w:szCs w:val="27"/>
          <w:shd w:val="clear" w:color="auto" w:fill="FFFFFF"/>
        </w:rPr>
        <w:t>根据县政府授权，集中统一履行县属功能类公益类企业国有资产管理和县属国有金融资本出资人职责。负责管理所监管企业党的建设工作。按照规定权限和程序对所监管企业领导人员进行管理。</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8.</w:t>
      </w:r>
      <w:r>
        <w:rPr>
          <w:rFonts w:hint="eastAsia" w:ascii="楷体" w:hAnsi="楷体" w:eastAsia="楷体" w:cs="楷体"/>
          <w:color w:val="666666"/>
          <w:kern w:val="0"/>
          <w:sz w:val="27"/>
          <w:szCs w:val="27"/>
          <w:shd w:val="clear" w:color="auto" w:fill="FFFFFF"/>
        </w:rPr>
        <w:t>牵头编制国有资产管理情况报告。拟订县属企业国有资产管理制度和国有金融资本管理制度，负责对执行情况进行监督检查。拟订全县和县本级行政事业单位各类国有资产管理规章制度并组织实施和监督检查，拟订需要全县统一规定的开支标准和支出政策。</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9.</w:t>
      </w:r>
      <w:r>
        <w:rPr>
          <w:rFonts w:hint="eastAsia" w:ascii="楷体" w:hAnsi="楷体" w:eastAsia="楷体" w:cs="楷体"/>
          <w:color w:val="666666"/>
          <w:kern w:val="0"/>
          <w:sz w:val="27"/>
          <w:szCs w:val="27"/>
          <w:shd w:val="clear" w:color="auto" w:fill="FFFFFF"/>
        </w:rPr>
        <w:t>负责审核并汇总编制全县国有资本经营预决算草案，拟订国有资本经营预算制度和办法，收取县本级企业国有资本收益。拟订企业财务制度并组织实施。负责财政预算内行政事业单位和社会团体的非贸易外汇管理。</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10.</w:t>
      </w:r>
      <w:r>
        <w:rPr>
          <w:rFonts w:hint="eastAsia" w:ascii="楷体" w:hAnsi="楷体" w:eastAsia="楷体" w:cs="楷体"/>
          <w:color w:val="666666"/>
          <w:kern w:val="0"/>
          <w:sz w:val="27"/>
          <w:szCs w:val="27"/>
          <w:shd w:val="clear" w:color="auto" w:fill="FFFFFF"/>
        </w:rPr>
        <w:t>指导推进所监管国有企业改革和重组，推动国有企业完善现代企业制度、健全公司法人治理结构，推动国有经济布局和结构调整，促进国有资本合理流动。</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11.</w:t>
      </w:r>
      <w:r>
        <w:rPr>
          <w:rFonts w:hint="eastAsia" w:ascii="楷体" w:hAnsi="楷体" w:eastAsia="楷体" w:cs="楷体"/>
          <w:color w:val="666666"/>
          <w:kern w:val="0"/>
          <w:sz w:val="27"/>
          <w:szCs w:val="27"/>
          <w:shd w:val="clear" w:color="auto" w:fill="FFFFFF"/>
        </w:rPr>
        <w:t>承担监督所监管企业国有资产保值增值责任，建立和完善国有资产保值增值指标体系，拟订考核标准，通过统计、稽核对所监管企业国有资产的保值增值情况进行监管。负责所监管企业工资分配管理工作，拟订所监管企业负责人收入分配政策并组织实施。</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12.</w:t>
      </w:r>
      <w:r>
        <w:rPr>
          <w:rFonts w:hint="eastAsia" w:ascii="楷体" w:hAnsi="楷体" w:eastAsia="楷体" w:cs="楷体"/>
          <w:color w:val="666666"/>
          <w:kern w:val="0"/>
          <w:sz w:val="27"/>
          <w:szCs w:val="27"/>
          <w:shd w:val="clear" w:color="auto" w:fill="FFFFFF"/>
        </w:rPr>
        <w:t>负责审核并汇总编制全县社会保险基金预决算草案，会同有关部门拟订有关资金(基金)财务管理制度，承担社会保险基金财政监管工作。</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13.</w:t>
      </w:r>
      <w:r>
        <w:rPr>
          <w:rFonts w:hint="eastAsia" w:ascii="楷体" w:hAnsi="楷体" w:eastAsia="楷体" w:cs="楷体"/>
          <w:color w:val="666666"/>
          <w:kern w:val="0"/>
          <w:sz w:val="27"/>
          <w:szCs w:val="27"/>
          <w:shd w:val="clear" w:color="auto" w:fill="FFFFFF"/>
        </w:rPr>
        <w:t>负责办理和监督县级财政的经济发展支出、县级政府性投资项目的财政拨款，参与拟订县级基建投资有关政策，制定基建财务管理制度。</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14.</w:t>
      </w:r>
      <w:r>
        <w:rPr>
          <w:rFonts w:hint="eastAsia" w:ascii="楷体" w:hAnsi="楷体" w:eastAsia="楷体" w:cs="楷体"/>
          <w:color w:val="666666"/>
          <w:kern w:val="0"/>
          <w:sz w:val="27"/>
          <w:szCs w:val="27"/>
          <w:shd w:val="clear" w:color="auto" w:fill="FFFFFF"/>
        </w:rPr>
        <w:t>负责管理全县会计工作，监督和规范会计行为，组织实施国家统一的会计制度，指导和监督注册会计师和会计师事务所的业务，指导和管理社会审计。依法管理资产评估有关工作。</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val="en-US" w:eastAsia="zh-CN"/>
        </w:rPr>
        <w:t>15.</w:t>
      </w:r>
      <w:r>
        <w:rPr>
          <w:rFonts w:hint="eastAsia" w:ascii="楷体" w:hAnsi="楷体" w:eastAsia="楷体" w:cs="楷体"/>
          <w:color w:val="666666"/>
          <w:kern w:val="0"/>
          <w:sz w:val="27"/>
          <w:szCs w:val="27"/>
          <w:shd w:val="clear" w:color="auto" w:fill="FFFFFF"/>
          <w:lang w:val="zh-CN"/>
        </w:rPr>
        <w:t>根据全县</w:t>
      </w:r>
      <w:r>
        <w:rPr>
          <w:rFonts w:hint="eastAsia" w:ascii="楷体" w:hAnsi="楷体" w:eastAsia="楷体" w:cs="楷体"/>
          <w:color w:val="666666"/>
          <w:kern w:val="0"/>
          <w:sz w:val="27"/>
          <w:szCs w:val="27"/>
          <w:shd w:val="clear" w:color="auto" w:fill="FFFFFF"/>
          <w:lang w:val="zh-CN" w:eastAsia="zh-CN"/>
        </w:rPr>
        <w:t>安全生产工</w:t>
      </w:r>
      <w:r>
        <w:rPr>
          <w:rFonts w:hint="eastAsia" w:ascii="楷体" w:hAnsi="楷体" w:eastAsia="楷体" w:cs="楷体"/>
          <w:color w:val="666666"/>
          <w:kern w:val="0"/>
          <w:sz w:val="27"/>
          <w:szCs w:val="27"/>
          <w:shd w:val="clear" w:color="auto" w:fill="FFFFFF"/>
          <w:lang w:val="zh-CN"/>
        </w:rPr>
        <w:t>作的需要，按照现行财政体制，落实相关专项投入和必要的工作经费，加强对资金使用的绩效管理和监督，保</w:t>
      </w:r>
      <w:r>
        <w:rPr>
          <w:rFonts w:hint="eastAsia" w:ascii="楷体" w:hAnsi="楷体" w:eastAsia="楷体" w:cs="楷体"/>
          <w:color w:val="666666"/>
          <w:kern w:val="0"/>
          <w:sz w:val="27"/>
          <w:szCs w:val="27"/>
          <w:shd w:val="clear" w:color="auto" w:fill="FFFFFF"/>
          <w:lang w:val="zh-CN" w:eastAsia="zh-CN"/>
        </w:rPr>
        <w:t>障安全生产</w:t>
      </w:r>
      <w:r>
        <w:rPr>
          <w:rFonts w:hint="eastAsia" w:ascii="楷体" w:hAnsi="楷体" w:eastAsia="楷体" w:cs="楷体"/>
          <w:color w:val="666666"/>
          <w:kern w:val="0"/>
          <w:sz w:val="27"/>
          <w:szCs w:val="27"/>
          <w:shd w:val="clear" w:color="auto" w:fill="FFFFFF"/>
          <w:lang w:val="zh-CN"/>
        </w:rPr>
        <w:t>监督管理工作的正常开展。</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ascii="仿宋_GB2312" w:hAnsi="仿宋_GB2312" w:eastAsia="仿宋_GB2312" w:cs="仿宋_GB2312"/>
          <w:sz w:val="32"/>
          <w:szCs w:val="32"/>
        </w:rPr>
      </w:pPr>
      <w:r>
        <w:rPr>
          <w:rFonts w:hint="eastAsia" w:ascii="楷体" w:hAnsi="楷体" w:eastAsia="楷体" w:cs="楷体"/>
          <w:color w:val="666666"/>
          <w:kern w:val="0"/>
          <w:sz w:val="27"/>
          <w:szCs w:val="27"/>
          <w:shd w:val="clear" w:color="auto" w:fill="FFFFFF"/>
          <w:lang w:val="en-US" w:eastAsia="zh-CN"/>
        </w:rPr>
        <w:t>16.</w:t>
      </w:r>
      <w:r>
        <w:rPr>
          <w:rFonts w:hint="eastAsia" w:ascii="楷体" w:hAnsi="楷体" w:eastAsia="楷体" w:cs="楷体"/>
          <w:color w:val="666666"/>
          <w:kern w:val="0"/>
          <w:sz w:val="27"/>
          <w:szCs w:val="27"/>
          <w:shd w:val="clear" w:color="auto" w:fill="FFFFFF"/>
        </w:rPr>
        <w:t>完成县委、县政府交办的其他任务。</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rPr>
        <w:t>二、</w:t>
      </w: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财政局机构设置</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val="en-US" w:eastAsia="zh-CN"/>
        </w:rPr>
      </w:pPr>
      <w:r>
        <w:rPr>
          <w:rFonts w:hint="eastAsia" w:ascii="楷体" w:hAnsi="楷体" w:eastAsia="楷体" w:cs="楷体"/>
          <w:color w:val="666666"/>
          <w:kern w:val="0"/>
          <w:sz w:val="27"/>
          <w:szCs w:val="27"/>
          <w:shd w:val="clear" w:color="auto" w:fill="FFFFFF"/>
          <w:lang w:val="en-US" w:eastAsia="zh-CN"/>
        </w:rPr>
        <w:t>罗山县财政局下设：设办公室、人事教育股、预算股、国库股、综合股、行政政法股、经济建设股、农业农村股、社会保障股、政府采购监督管理股、企业股、会计股、行政事业资产管理股、财政监督股、基层财政管理股等15个股室，下辖非税收入事务中心、基层财政事务中心、财政支付中心等9个二级机构。编制共有98个，其中：行政编制20个，参照公务员管理编制38个，事业编制40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542" w:firstLineChars="200"/>
        <w:textAlignment w:val="auto"/>
        <w:rPr>
          <w:rStyle w:val="6"/>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lang w:eastAsia="zh-CN"/>
        </w:rPr>
        <w:t>三、罗山县</w:t>
      </w:r>
      <w:r>
        <w:rPr>
          <w:rStyle w:val="6"/>
          <w:rFonts w:hint="eastAsia" w:ascii="楷体" w:hAnsi="楷体" w:eastAsia="楷体" w:cs="楷体"/>
          <w:color w:val="666666"/>
          <w:kern w:val="0"/>
          <w:sz w:val="27"/>
          <w:szCs w:val="27"/>
          <w:shd w:val="clear" w:color="auto" w:fill="FFFFFF"/>
        </w:rPr>
        <w:t>财政局预算单位构成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财政局部门预算包括局机关本级预算和所属二级单位预算在内的汇总预算。包括：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lang w:eastAsia="zh-CN"/>
        </w:rPr>
        <w:t>罗山县财政局本级</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2.罗山县非税收入事务中心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3.罗山县基层财政事务中心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4.罗山县财政支付中心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5.罗山县函授站</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6.罗山县财政投资评审中心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7.罗山县政府和社会救助基金管理中心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8.罗山县宝诚担保有限责任公司</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9.罗山县财政信息中心</w:t>
      </w:r>
    </w:p>
    <w:p>
      <w:pPr>
        <w:keepNext w:val="0"/>
        <w:keepLines w:val="0"/>
        <w:pageBreakBefore w:val="0"/>
        <w:kinsoku/>
        <w:wordWrap/>
        <w:overflowPunct/>
        <w:topLinePunct w:val="0"/>
        <w:autoSpaceDE/>
        <w:autoSpaceDN/>
        <w:bidi w:val="0"/>
        <w:adjustRightInd/>
        <w:snapToGrid/>
        <w:spacing w:line="600" w:lineRule="exact"/>
        <w:ind w:firstLine="540" w:firstLineChars="200"/>
        <w:textAlignment w:val="auto"/>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lang w:eastAsia="zh-CN"/>
        </w:rPr>
        <w:t>10.罗山县道路交通救助中心</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第二部分</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lang w:eastAsia="zh-CN"/>
        </w:rPr>
        <w:t>罗山县</w:t>
      </w:r>
      <w:r>
        <w:rPr>
          <w:rStyle w:val="6"/>
          <w:rFonts w:hint="eastAsia" w:ascii="楷体" w:hAnsi="楷体" w:eastAsia="楷体" w:cs="楷体"/>
          <w:color w:val="666666"/>
          <w:kern w:val="0"/>
          <w:sz w:val="27"/>
          <w:szCs w:val="27"/>
          <w:shd w:val="clear" w:color="auto" w:fill="FFFFFF"/>
        </w:rPr>
        <w:t>财政局202</w:t>
      </w:r>
      <w:r>
        <w:rPr>
          <w:rStyle w:val="6"/>
          <w:rFonts w:hint="eastAsia" w:ascii="楷体" w:hAnsi="楷体" w:eastAsia="楷体" w:cs="楷体"/>
          <w:color w:val="666666"/>
          <w:kern w:val="0"/>
          <w:sz w:val="27"/>
          <w:szCs w:val="27"/>
          <w:shd w:val="clear" w:color="auto" w:fill="FFFFFF"/>
          <w:lang w:val="en-US" w:eastAsia="zh-CN"/>
        </w:rPr>
        <w:t>2</w:t>
      </w:r>
      <w:r>
        <w:rPr>
          <w:rStyle w:val="6"/>
          <w:rFonts w:hint="eastAsia" w:ascii="楷体" w:hAnsi="楷体" w:eastAsia="楷体" w:cs="楷体"/>
          <w:color w:val="666666"/>
          <w:kern w:val="0"/>
          <w:sz w:val="27"/>
          <w:szCs w:val="27"/>
          <w:shd w:val="clear" w:color="auto" w:fill="FFFFFF"/>
        </w:rPr>
        <w:t>年度部门预算情况说明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 </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一、收入支出预算总体情况说明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val="en-US" w:eastAsia="zh-CN"/>
        </w:rPr>
        <w:t xml:space="preserve"> </w:t>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年收入总计10,25</w:t>
      </w:r>
      <w:r>
        <w:rPr>
          <w:rFonts w:hint="eastAsia" w:ascii="楷体" w:hAnsi="楷体" w:eastAsia="楷体" w:cs="楷体"/>
          <w:color w:val="666666"/>
          <w:kern w:val="0"/>
          <w:sz w:val="27"/>
          <w:szCs w:val="27"/>
          <w:shd w:val="clear" w:color="auto" w:fill="FFFFFF"/>
          <w:lang w:val="en-US" w:eastAsia="zh-CN"/>
        </w:rPr>
        <w:t>.</w:t>
      </w:r>
      <w:r>
        <w:rPr>
          <w:rFonts w:hint="eastAsia" w:ascii="楷体" w:hAnsi="楷体" w:eastAsia="楷体" w:cs="楷体"/>
          <w:color w:val="666666"/>
          <w:kern w:val="0"/>
          <w:sz w:val="27"/>
          <w:szCs w:val="27"/>
          <w:shd w:val="clear" w:color="auto" w:fill="FFFFFF"/>
        </w:rPr>
        <w:t>9889万元，支出总计10,25</w:t>
      </w:r>
      <w:r>
        <w:rPr>
          <w:rFonts w:hint="eastAsia" w:ascii="楷体" w:hAnsi="楷体" w:eastAsia="楷体" w:cs="楷体"/>
          <w:color w:val="666666"/>
          <w:kern w:val="0"/>
          <w:sz w:val="27"/>
          <w:szCs w:val="27"/>
          <w:shd w:val="clear" w:color="auto" w:fill="FFFFFF"/>
          <w:lang w:val="en-US" w:eastAsia="zh-CN"/>
        </w:rPr>
        <w:t>.</w:t>
      </w:r>
      <w:r>
        <w:rPr>
          <w:rFonts w:hint="eastAsia" w:ascii="楷体" w:hAnsi="楷体" w:eastAsia="楷体" w:cs="楷体"/>
          <w:color w:val="666666"/>
          <w:kern w:val="0"/>
          <w:sz w:val="27"/>
          <w:szCs w:val="27"/>
          <w:shd w:val="clear" w:color="auto" w:fill="FFFFFF"/>
        </w:rPr>
        <w:t>9889万元，与202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年预算相比，收入</w:t>
      </w:r>
      <w:r>
        <w:rPr>
          <w:rFonts w:hint="eastAsia" w:ascii="楷体" w:hAnsi="楷体" w:eastAsia="楷体" w:cs="楷体"/>
          <w:color w:val="666666"/>
          <w:kern w:val="0"/>
          <w:sz w:val="27"/>
          <w:szCs w:val="27"/>
          <w:shd w:val="clear" w:color="auto" w:fill="FFFFFF"/>
          <w:lang w:eastAsia="zh-CN"/>
        </w:rPr>
        <w:t>增加</w:t>
      </w:r>
      <w:r>
        <w:rPr>
          <w:rFonts w:hint="eastAsia" w:ascii="楷体" w:hAnsi="楷体" w:eastAsia="楷体" w:cs="楷体"/>
          <w:color w:val="666666"/>
          <w:kern w:val="0"/>
          <w:sz w:val="27"/>
          <w:szCs w:val="27"/>
          <w:shd w:val="clear" w:color="auto" w:fill="FFFFFF"/>
          <w:lang w:val="en-US" w:eastAsia="zh-CN"/>
        </w:rPr>
        <w:t>69.1857</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增长</w:t>
      </w:r>
      <w:r>
        <w:rPr>
          <w:rFonts w:hint="eastAsia" w:ascii="楷体" w:hAnsi="楷体" w:eastAsia="楷体" w:cs="楷体"/>
          <w:color w:val="666666"/>
          <w:kern w:val="0"/>
          <w:sz w:val="27"/>
          <w:szCs w:val="27"/>
          <w:shd w:val="clear" w:color="auto" w:fill="FFFFFF"/>
          <w:lang w:val="en-US" w:eastAsia="zh-CN"/>
        </w:rPr>
        <w:t>7.23</w:t>
      </w:r>
      <w:r>
        <w:rPr>
          <w:rFonts w:hint="eastAsia" w:ascii="楷体" w:hAnsi="楷体" w:eastAsia="楷体" w:cs="楷体"/>
          <w:color w:val="666666"/>
          <w:kern w:val="0"/>
          <w:sz w:val="27"/>
          <w:szCs w:val="27"/>
          <w:shd w:val="clear" w:color="auto" w:fill="FFFFFF"/>
        </w:rPr>
        <w:t>%。主要原因：人员增加，经费增加;支出</w:t>
      </w:r>
      <w:r>
        <w:rPr>
          <w:rFonts w:hint="eastAsia" w:ascii="楷体" w:hAnsi="楷体" w:eastAsia="楷体" w:cs="楷体"/>
          <w:color w:val="666666"/>
          <w:kern w:val="0"/>
          <w:sz w:val="27"/>
          <w:szCs w:val="27"/>
          <w:shd w:val="clear" w:color="auto" w:fill="FFFFFF"/>
          <w:lang w:eastAsia="zh-CN"/>
        </w:rPr>
        <w:t>增加</w:t>
      </w:r>
      <w:r>
        <w:rPr>
          <w:rFonts w:hint="eastAsia" w:ascii="楷体" w:hAnsi="楷体" w:eastAsia="楷体" w:cs="楷体"/>
          <w:color w:val="666666"/>
          <w:kern w:val="0"/>
          <w:sz w:val="27"/>
          <w:szCs w:val="27"/>
          <w:shd w:val="clear" w:color="auto" w:fill="FFFFFF"/>
          <w:lang w:val="en-US" w:eastAsia="zh-CN"/>
        </w:rPr>
        <w:t>69.1857</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增长</w:t>
      </w:r>
      <w:r>
        <w:rPr>
          <w:rFonts w:hint="eastAsia" w:ascii="楷体" w:hAnsi="楷体" w:eastAsia="楷体" w:cs="楷体"/>
          <w:color w:val="666666"/>
          <w:kern w:val="0"/>
          <w:sz w:val="27"/>
          <w:szCs w:val="27"/>
          <w:shd w:val="clear" w:color="auto" w:fill="FFFFFF"/>
          <w:lang w:val="en-US" w:eastAsia="zh-CN"/>
        </w:rPr>
        <w:t>7.23</w:t>
      </w:r>
      <w:r>
        <w:rPr>
          <w:rFonts w:hint="eastAsia" w:ascii="楷体" w:hAnsi="楷体" w:eastAsia="楷体" w:cs="楷体"/>
          <w:color w:val="666666"/>
          <w:kern w:val="0"/>
          <w:sz w:val="27"/>
          <w:szCs w:val="27"/>
          <w:shd w:val="clear" w:color="auto" w:fill="FFFFFF"/>
        </w:rPr>
        <w:t>%。主要原因：人员增加，经费增加。</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二、收入预算总体情况说明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年收入合计</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万元，其中：一般公共预算</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 政府性基金收入0万元；专户管理的教育收费0万元。</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三、支出预算总体情况说明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val="en-US" w:eastAsia="zh-CN"/>
        </w:rPr>
      </w:pPr>
      <w:r>
        <w:rPr>
          <w:rFonts w:hint="eastAsia" w:ascii="楷体" w:hAnsi="楷体" w:eastAsia="楷体" w:cs="楷体"/>
          <w:color w:val="666666"/>
          <w:kern w:val="0"/>
          <w:sz w:val="27"/>
          <w:szCs w:val="27"/>
          <w:shd w:val="clear" w:color="auto" w:fill="FFFFFF"/>
          <w:lang w:eastAsia="zh-CN"/>
        </w:rPr>
        <w:t>罗山县财政局</w:t>
      </w:r>
      <w:r>
        <w:rPr>
          <w:rFonts w:hint="eastAsia" w:ascii="楷体" w:hAnsi="楷体" w:eastAsia="楷体" w:cs="楷体"/>
          <w:color w:val="666666"/>
          <w:kern w:val="0"/>
          <w:sz w:val="27"/>
          <w:szCs w:val="27"/>
          <w:shd w:val="clear" w:color="auto" w:fill="FFFFFF"/>
        </w:rPr>
        <w:t>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年支出合计</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万元，其中：</w:t>
      </w:r>
      <w:r>
        <w:rPr>
          <w:rFonts w:hint="eastAsia" w:ascii="楷体" w:hAnsi="楷体" w:eastAsia="楷体" w:cs="楷体"/>
          <w:color w:val="666666"/>
          <w:kern w:val="0"/>
          <w:sz w:val="27"/>
          <w:szCs w:val="27"/>
          <w:shd w:val="clear" w:color="auto" w:fill="FFFFFF"/>
          <w:lang w:eastAsia="zh-CN"/>
        </w:rPr>
        <w:t>工资福利支出</w:t>
      </w:r>
      <w:r>
        <w:rPr>
          <w:rFonts w:hint="eastAsia" w:ascii="楷体" w:hAnsi="楷体" w:eastAsia="楷体" w:cs="楷体"/>
          <w:color w:val="666666"/>
          <w:kern w:val="0"/>
          <w:sz w:val="27"/>
          <w:szCs w:val="27"/>
          <w:shd w:val="clear" w:color="auto" w:fill="FFFFFF"/>
          <w:lang w:val="en-US" w:eastAsia="zh-CN"/>
        </w:rPr>
        <w:t>984.9380</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96</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对个人和家庭补助支出</w:t>
      </w:r>
      <w:r>
        <w:rPr>
          <w:rFonts w:hint="eastAsia" w:ascii="楷体" w:hAnsi="楷体" w:eastAsia="楷体" w:cs="楷体"/>
          <w:color w:val="666666"/>
          <w:kern w:val="0"/>
          <w:sz w:val="27"/>
          <w:szCs w:val="27"/>
          <w:shd w:val="clear" w:color="auto" w:fill="FFFFFF"/>
          <w:lang w:val="en-US" w:eastAsia="zh-CN"/>
        </w:rPr>
        <w:t>11.5928</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1.13</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；商品和服务支出</w:t>
      </w:r>
      <w:r>
        <w:rPr>
          <w:rFonts w:hint="eastAsia" w:ascii="楷体" w:hAnsi="楷体" w:eastAsia="楷体" w:cs="楷体"/>
          <w:color w:val="666666"/>
          <w:kern w:val="0"/>
          <w:sz w:val="27"/>
          <w:szCs w:val="27"/>
          <w:shd w:val="clear" w:color="auto" w:fill="FFFFFF"/>
          <w:lang w:val="en-US" w:eastAsia="zh-CN"/>
        </w:rPr>
        <w:t>29.4581万元，占2.87%。</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四、财政拨款收入支出预算总体情况说明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年一般公共预算收支预算</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万元，政府性基金收支预算0万元。与 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年相比，一般公共预算收支预算各</w:t>
      </w:r>
      <w:r>
        <w:rPr>
          <w:rFonts w:hint="eastAsia" w:ascii="楷体" w:hAnsi="楷体" w:eastAsia="楷体" w:cs="楷体"/>
          <w:color w:val="666666"/>
          <w:kern w:val="0"/>
          <w:sz w:val="27"/>
          <w:szCs w:val="27"/>
          <w:shd w:val="clear" w:color="auto" w:fill="FFFFFF"/>
          <w:lang w:eastAsia="zh-CN"/>
        </w:rPr>
        <w:t>增加</w:t>
      </w:r>
      <w:r>
        <w:rPr>
          <w:rFonts w:hint="eastAsia" w:ascii="楷体" w:hAnsi="楷体" w:eastAsia="楷体" w:cs="楷体"/>
          <w:color w:val="666666"/>
          <w:kern w:val="0"/>
          <w:sz w:val="27"/>
          <w:szCs w:val="27"/>
          <w:shd w:val="clear" w:color="auto" w:fill="FFFFFF"/>
          <w:lang w:val="en-US" w:eastAsia="zh-CN"/>
        </w:rPr>
        <w:t>69.1857</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增长</w:t>
      </w:r>
      <w:r>
        <w:rPr>
          <w:rFonts w:hint="eastAsia" w:ascii="楷体" w:hAnsi="楷体" w:eastAsia="楷体" w:cs="楷体"/>
          <w:color w:val="666666"/>
          <w:kern w:val="0"/>
          <w:sz w:val="27"/>
          <w:szCs w:val="27"/>
          <w:shd w:val="clear" w:color="auto" w:fill="FFFFFF"/>
          <w:lang w:val="en-US" w:eastAsia="zh-CN"/>
        </w:rPr>
        <w:t>7.23%，主要原因：人员增加，经费增加</w:t>
      </w:r>
      <w:r>
        <w:rPr>
          <w:rFonts w:hint="eastAsia" w:ascii="楷体" w:hAnsi="楷体" w:eastAsia="楷体" w:cs="楷体"/>
          <w:color w:val="666666"/>
          <w:kern w:val="0"/>
          <w:sz w:val="27"/>
          <w:szCs w:val="27"/>
          <w:shd w:val="clear" w:color="auto" w:fill="FFFFFF"/>
        </w:rPr>
        <w:t>；政府性基金收支预算增加0万元，与202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年相比无差异。</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五、一般公共预算支出预算情况说明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val="en-US"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年一般公共预算支出年初预算为</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万元。主要用于以下方面：</w:t>
      </w:r>
      <w:r>
        <w:rPr>
          <w:rFonts w:hint="eastAsia" w:ascii="楷体" w:hAnsi="楷体" w:eastAsia="楷体" w:cs="楷体"/>
          <w:color w:val="666666"/>
          <w:kern w:val="0"/>
          <w:sz w:val="27"/>
          <w:szCs w:val="27"/>
          <w:shd w:val="clear" w:color="auto" w:fill="FFFFFF"/>
          <w:lang w:eastAsia="zh-CN"/>
        </w:rPr>
        <w:t>工资福利支出</w:t>
      </w:r>
      <w:r>
        <w:rPr>
          <w:rFonts w:hint="eastAsia" w:ascii="楷体" w:hAnsi="楷体" w:eastAsia="楷体" w:cs="楷体"/>
          <w:color w:val="666666"/>
          <w:kern w:val="0"/>
          <w:sz w:val="27"/>
          <w:szCs w:val="27"/>
          <w:shd w:val="clear" w:color="auto" w:fill="FFFFFF"/>
          <w:lang w:val="en-US" w:eastAsia="zh-CN"/>
        </w:rPr>
        <w:t>984.9380</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96</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对个人和家庭补助支出</w:t>
      </w:r>
      <w:r>
        <w:rPr>
          <w:rFonts w:hint="eastAsia" w:ascii="楷体" w:hAnsi="楷体" w:eastAsia="楷体" w:cs="楷体"/>
          <w:color w:val="666666"/>
          <w:kern w:val="0"/>
          <w:sz w:val="27"/>
          <w:szCs w:val="27"/>
          <w:shd w:val="clear" w:color="auto" w:fill="FFFFFF"/>
          <w:lang w:val="en-US" w:eastAsia="zh-CN"/>
        </w:rPr>
        <w:t>11.5928</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1.13</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；商品和服务支出</w:t>
      </w:r>
      <w:r>
        <w:rPr>
          <w:rFonts w:hint="eastAsia" w:ascii="楷体" w:hAnsi="楷体" w:eastAsia="楷体" w:cs="楷体"/>
          <w:color w:val="666666"/>
          <w:kern w:val="0"/>
          <w:sz w:val="27"/>
          <w:szCs w:val="27"/>
          <w:shd w:val="clear" w:color="auto" w:fill="FFFFFF"/>
          <w:lang w:val="en-US" w:eastAsia="zh-CN"/>
        </w:rPr>
        <w:t>29.4581万元，占2.87%。</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六、一般公共预算基本支出预算情况说明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年一般公共预算基本支出</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万元，其中：人员经费</w:t>
      </w:r>
      <w:r>
        <w:rPr>
          <w:rFonts w:hint="eastAsia" w:ascii="楷体" w:hAnsi="楷体" w:eastAsia="楷体" w:cs="楷体"/>
          <w:color w:val="666666"/>
          <w:kern w:val="0"/>
          <w:sz w:val="27"/>
          <w:szCs w:val="27"/>
          <w:shd w:val="clear" w:color="auto" w:fill="FFFFFF"/>
          <w:lang w:val="en-US" w:eastAsia="zh-CN"/>
        </w:rPr>
        <w:t>1004.7889</w:t>
      </w:r>
      <w:r>
        <w:rPr>
          <w:rFonts w:hint="eastAsia" w:ascii="楷体" w:hAnsi="楷体" w:eastAsia="楷体" w:cs="楷体"/>
          <w:color w:val="666666"/>
          <w:kern w:val="0"/>
          <w:sz w:val="27"/>
          <w:szCs w:val="27"/>
          <w:shd w:val="clear" w:color="auto" w:fill="FFFFFF"/>
        </w:rPr>
        <w:t>万元，主要包括：基本工资、津贴补贴、奖金、社会保障缴费、绩效工资、离休费、退休费、遗属补助、住房公积金等；公用经费</w:t>
      </w:r>
      <w:r>
        <w:rPr>
          <w:rFonts w:hint="eastAsia" w:ascii="楷体" w:hAnsi="楷体" w:eastAsia="楷体" w:cs="楷体"/>
          <w:color w:val="666666"/>
          <w:kern w:val="0"/>
          <w:sz w:val="27"/>
          <w:szCs w:val="27"/>
          <w:shd w:val="clear" w:color="auto" w:fill="FFFFFF"/>
          <w:lang w:val="en-US" w:eastAsia="zh-CN"/>
        </w:rPr>
        <w:t>21.2</w:t>
      </w:r>
      <w:r>
        <w:rPr>
          <w:rFonts w:hint="eastAsia" w:ascii="楷体" w:hAnsi="楷体" w:eastAsia="楷体" w:cs="楷体"/>
          <w:color w:val="666666"/>
          <w:kern w:val="0"/>
          <w:sz w:val="27"/>
          <w:szCs w:val="27"/>
          <w:shd w:val="clear" w:color="auto" w:fill="FFFFFF"/>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七、政府性基金预算支出预算情况说明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我局202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年无使用政府性基金预算拨款安排的支出。</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八、“三公”经费支出预算情况说明</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我局202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年“三公”经费预算为</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年“三公”经费支出预算数比 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年减少</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具体支出情况如下：</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（一）因公出国（境）费</w:t>
      </w:r>
      <w:r>
        <w:rPr>
          <w:rFonts w:hint="eastAsia" w:ascii="楷体" w:hAnsi="楷体" w:eastAsia="楷体" w:cs="楷体"/>
          <w:color w:val="666666"/>
          <w:kern w:val="0"/>
          <w:sz w:val="27"/>
          <w:szCs w:val="27"/>
          <w:shd w:val="clear" w:color="auto" w:fill="FFFFFF"/>
        </w:rPr>
        <w:t>0万元，主要用于单位工作人员公务出国（境）的住宿费、旅费、伙食补助费、杂费、培训费等支出。预算数比 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年增加0万元，与202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年相比无差异。</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Fonts w:hint="eastAsia" w:ascii="楷体" w:hAnsi="楷体" w:eastAsia="楷体" w:cs="楷体"/>
          <w:color w:val="666666"/>
          <w:kern w:val="0"/>
          <w:sz w:val="27"/>
          <w:szCs w:val="27"/>
          <w:shd w:val="clear" w:color="auto" w:fill="FFFFFF"/>
          <w:lang w:val="en-US" w:eastAsia="zh-CN"/>
        </w:rPr>
      </w:pPr>
      <w:r>
        <w:rPr>
          <w:rStyle w:val="6"/>
          <w:rFonts w:hint="eastAsia" w:ascii="楷体" w:hAnsi="楷体" w:eastAsia="楷体" w:cs="楷体"/>
          <w:color w:val="666666"/>
          <w:kern w:val="0"/>
          <w:sz w:val="27"/>
          <w:szCs w:val="27"/>
          <w:shd w:val="clear" w:color="auto" w:fill="FFFFFF"/>
        </w:rPr>
        <w:t>（二）公务用车购置及运行费</w:t>
      </w:r>
      <w:r>
        <w:rPr>
          <w:rStyle w:val="6"/>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万元，其中，公务用车购置费0万元；公务用车运行维护费</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万元，主要用于开展工作所需公务用车的燃料费、维修费、过路过桥费、保险费、安全奖励费用等支出。公务用车购置费预算数比 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年增加0万元，与202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年相比无差异。公务用车运行维护费预算数比 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年增加</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与</w:t>
      </w:r>
      <w:r>
        <w:rPr>
          <w:rFonts w:hint="eastAsia" w:ascii="楷体" w:hAnsi="楷体" w:eastAsia="楷体" w:cs="楷体"/>
          <w:color w:val="666666"/>
          <w:kern w:val="0"/>
          <w:sz w:val="27"/>
          <w:szCs w:val="27"/>
          <w:shd w:val="clear" w:color="auto" w:fill="FFFFFF"/>
          <w:lang w:val="en-US" w:eastAsia="zh-CN"/>
        </w:rPr>
        <w:t>2021年相比无差异。</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Fonts w:hint="default" w:ascii="楷体" w:hAnsi="楷体" w:eastAsia="楷体" w:cs="楷体"/>
          <w:color w:val="666666"/>
          <w:kern w:val="0"/>
          <w:sz w:val="27"/>
          <w:szCs w:val="27"/>
          <w:shd w:val="clear" w:color="auto" w:fill="FFFFFF"/>
          <w:lang w:val="en-US" w:eastAsia="zh-CN"/>
        </w:rPr>
      </w:pPr>
      <w:r>
        <w:rPr>
          <w:rStyle w:val="6"/>
          <w:rFonts w:hint="eastAsia" w:ascii="楷体" w:hAnsi="楷体" w:eastAsia="楷体" w:cs="楷体"/>
          <w:color w:val="666666"/>
          <w:kern w:val="0"/>
          <w:sz w:val="27"/>
          <w:szCs w:val="27"/>
          <w:shd w:val="clear" w:color="auto" w:fill="FFFFFF"/>
        </w:rPr>
        <w:t>（三）公务接待费</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万元，主要用于按规定开支的各类公务接待（含外宾接待）支出。预算数比202</w:t>
      </w:r>
      <w:r>
        <w:rPr>
          <w:rFonts w:hint="eastAsia" w:ascii="楷体" w:hAnsi="楷体" w:eastAsia="楷体" w:cs="楷体"/>
          <w:color w:val="666666"/>
          <w:kern w:val="0"/>
          <w:sz w:val="27"/>
          <w:szCs w:val="27"/>
          <w:shd w:val="clear" w:color="auto" w:fill="FFFFFF"/>
          <w:lang w:val="en-US" w:eastAsia="zh-CN"/>
        </w:rPr>
        <w:t>1</w:t>
      </w:r>
      <w:r>
        <w:rPr>
          <w:rFonts w:hint="eastAsia" w:ascii="楷体" w:hAnsi="楷体" w:eastAsia="楷体" w:cs="楷体"/>
          <w:color w:val="666666"/>
          <w:kern w:val="0"/>
          <w:sz w:val="27"/>
          <w:szCs w:val="27"/>
          <w:shd w:val="clear" w:color="auto" w:fill="FFFFFF"/>
        </w:rPr>
        <w:t>年减少</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，与</w:t>
      </w:r>
      <w:r>
        <w:rPr>
          <w:rFonts w:hint="eastAsia" w:ascii="楷体" w:hAnsi="楷体" w:eastAsia="楷体" w:cs="楷体"/>
          <w:color w:val="666666"/>
          <w:kern w:val="0"/>
          <w:sz w:val="27"/>
          <w:szCs w:val="27"/>
          <w:shd w:val="clear" w:color="auto" w:fill="FFFFFF"/>
          <w:lang w:val="en-US" w:eastAsia="zh-CN"/>
        </w:rPr>
        <w:t>2021年相比无差异。</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九、其他重要事项情况说明（以下情况金额为0的，仍需进行情况说明）</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（一）机关运行经费支出情况</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年机关运行经费支出预算</w:t>
      </w:r>
      <w:r>
        <w:rPr>
          <w:rFonts w:hint="eastAsia" w:ascii="楷体" w:hAnsi="楷体" w:eastAsia="楷体" w:cs="楷体"/>
          <w:color w:val="666666"/>
          <w:kern w:val="0"/>
          <w:sz w:val="27"/>
          <w:szCs w:val="27"/>
          <w:shd w:val="clear" w:color="auto" w:fill="FFFFFF"/>
          <w:lang w:val="en-US" w:eastAsia="zh-CN"/>
        </w:rPr>
        <w:t>1025.9889</w:t>
      </w:r>
      <w:r>
        <w:rPr>
          <w:rFonts w:hint="eastAsia" w:ascii="楷体" w:hAnsi="楷体" w:eastAsia="楷体" w:cs="楷体"/>
          <w:color w:val="666666"/>
          <w:kern w:val="0"/>
          <w:sz w:val="27"/>
          <w:szCs w:val="27"/>
          <w:shd w:val="clear" w:color="auto" w:fill="FFFFFF"/>
        </w:rPr>
        <w:t>万元，主要保障机构正常运转及正常履职需要，完成预算年度主要工作任务需要。</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（二）政府采购支出情况</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财政局202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年没有政府采购预算支出。</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（三）绩效目标设置情况</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我局202</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年预算项目均按要求编制了绩效目标，从项目产出、项目效益、满意度等方面设置了绩效指标，综合反映项目预期完成的数量、实效、质量，预期达到的社会经济效益、可持续影响以及服务对象满意度等情况。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kinsoku/>
        <w:wordWrap/>
        <w:overflowPunct/>
        <w:topLinePunct w:val="0"/>
        <w:autoSpaceDE/>
        <w:autoSpaceDN/>
        <w:bidi w:val="0"/>
        <w:adjustRightInd/>
        <w:snapToGrid/>
        <w:ind w:firstLine="542" w:firstLineChars="200"/>
        <w:jc w:val="left"/>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（四）国有资产占用情况。</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val="en-US" w:eastAsia="zh-CN"/>
        </w:rPr>
        <w:t>2021</w:t>
      </w:r>
      <w:r>
        <w:rPr>
          <w:rFonts w:hint="eastAsia" w:ascii="楷体" w:hAnsi="楷体" w:eastAsia="楷体" w:cs="楷体"/>
          <w:color w:val="666666"/>
          <w:kern w:val="0"/>
          <w:sz w:val="27"/>
          <w:szCs w:val="27"/>
          <w:shd w:val="clear" w:color="auto" w:fill="FFFFFF"/>
        </w:rPr>
        <w:t>年期末，我局共有车辆</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辆，其中：一般公务用车</w:t>
      </w:r>
      <w:r>
        <w:rPr>
          <w:rFonts w:hint="eastAsia" w:ascii="楷体" w:hAnsi="楷体" w:eastAsia="楷体" w:cs="楷体"/>
          <w:color w:val="666666"/>
          <w:kern w:val="0"/>
          <w:sz w:val="27"/>
          <w:szCs w:val="27"/>
          <w:shd w:val="clear" w:color="auto" w:fill="FFFFFF"/>
          <w:lang w:val="en-US" w:eastAsia="zh-CN"/>
        </w:rPr>
        <w:t>2</w:t>
      </w:r>
      <w:r>
        <w:rPr>
          <w:rFonts w:hint="eastAsia" w:ascii="楷体" w:hAnsi="楷体" w:eastAsia="楷体" w:cs="楷体"/>
          <w:color w:val="666666"/>
          <w:kern w:val="0"/>
          <w:sz w:val="27"/>
          <w:szCs w:val="27"/>
          <w:shd w:val="clear" w:color="auto" w:fill="FFFFFF"/>
        </w:rPr>
        <w:t>辆、一般执法执勤用车0辆、特种专业技术用车0辆，其他用车0辆；单价50万元以上通用设备0台（套），单位价值100万元以上专用设备0台（套）。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ind w:firstLine="540" w:firstLineChars="200"/>
        <w:jc w:val="left"/>
        <w:textAlignment w:val="auto"/>
      </w:pPr>
      <w:r>
        <w:rPr>
          <w:rFonts w:hint="eastAsia" w:ascii="楷体" w:hAnsi="楷体" w:eastAsia="楷体" w:cs="楷体"/>
          <w:color w:val="666666"/>
          <w:kern w:val="0"/>
          <w:sz w:val="27"/>
          <w:szCs w:val="27"/>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Style w:val="6"/>
          <w:rFonts w:hint="eastAsia" w:ascii="楷体" w:hAnsi="楷体" w:eastAsia="楷体" w:cs="楷体"/>
          <w:color w:val="666666"/>
          <w:kern w:val="0"/>
          <w:sz w:val="27"/>
          <w:szCs w:val="27"/>
          <w:shd w:val="clear" w:color="auto" w:fill="FFFFFF"/>
          <w:lang w:eastAsia="zh-CN"/>
        </w:rPr>
      </w:pPr>
      <w:r>
        <w:rPr>
          <w:rStyle w:val="6"/>
          <w:rFonts w:hint="eastAsia" w:ascii="楷体" w:hAnsi="楷体" w:eastAsia="楷体" w:cs="楷体"/>
          <w:color w:val="666666"/>
          <w:kern w:val="0"/>
          <w:sz w:val="27"/>
          <w:szCs w:val="27"/>
          <w:shd w:val="clear" w:color="auto" w:fill="FFFFFF"/>
        </w:rPr>
        <w:t>第三部分</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jc w:val="center"/>
        <w:textAlignment w:val="auto"/>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rPr>
        <w:t>名词解释</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一、财政拨款收入：是指省级财政当年拨付的资金。</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二、事业收入：是指事业单位开展专业活动及辅助活动所取 得的收入。</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三、其他收入：是指部门取得的除“财政拨款”、“事业收入”、“事业单位经营收入”等以外的收入。</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五、基本支出：是指为保障机构正常运转、完成日常工作任务所必需的开支，其内容包括人员经费和日常公用经费两部分。</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六、项目支出：是指在基本支出之外，为完成特定的行政工作任务或事业发展目标所发生的支出。</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 </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附件:</w:t>
      </w:r>
    </w:p>
    <w:p>
      <w:pPr>
        <w:keepNext w:val="0"/>
        <w:keepLines w:val="0"/>
        <w:pageBreakBefore w:val="0"/>
        <w:widowControl/>
        <w:kinsoku/>
        <w:wordWrap/>
        <w:overflowPunct/>
        <w:topLinePunct w:val="0"/>
        <w:autoSpaceDE/>
        <w:autoSpaceDN/>
        <w:bidi w:val="0"/>
        <w:adjustRightInd/>
        <w:snapToGrid/>
        <w:jc w:val="left"/>
        <w:textAlignment w:val="auto"/>
      </w:pPr>
      <w:r>
        <w:rPr>
          <w:rFonts w:hint="eastAsia" w:ascii="楷体" w:hAnsi="楷体" w:eastAsia="楷体" w:cs="楷体"/>
          <w:color w:val="666666"/>
          <w:kern w:val="0"/>
          <w:sz w:val="27"/>
          <w:szCs w:val="27"/>
          <w:shd w:val="clear" w:color="auto" w:fill="FFFFFF"/>
        </w:rPr>
        <w:t> </w:t>
      </w:r>
    </w:p>
    <w:p>
      <w:pPr>
        <w:keepNext w:val="0"/>
        <w:keepLines w:val="0"/>
        <w:pageBreakBefore w:val="0"/>
        <w:widowControl/>
        <w:kinsoku/>
        <w:wordWrap/>
        <w:overflowPunct/>
        <w:topLinePunct w:val="0"/>
        <w:autoSpaceDE/>
        <w:autoSpaceDN/>
        <w:bidi w:val="0"/>
        <w:adjustRightInd/>
        <w:snapToGrid/>
        <w:jc w:val="left"/>
        <w:textAlignment w:val="auto"/>
      </w:pPr>
    </w:p>
    <w:p>
      <w:pPr>
        <w:keepNext w:val="0"/>
        <w:keepLines w:val="0"/>
        <w:pageBreakBefore w:val="0"/>
        <w:kinsoku/>
        <w:wordWrap/>
        <w:overflowPunct/>
        <w:topLinePunct w:val="0"/>
        <w:autoSpaceDE/>
        <w:autoSpaceDN/>
        <w:bidi w:val="0"/>
        <w:adjustRightInd/>
        <w:snapToGrid/>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_x0004_falt">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UwNjViNTUzNjBlMTMxNzAyMDQ2NmY4ZTZkYmUxZWMifQ=="/>
  </w:docVars>
  <w:rsids>
    <w:rsidRoot w:val="58914A84"/>
    <w:rsid w:val="002A1DBF"/>
    <w:rsid w:val="005956C0"/>
    <w:rsid w:val="00A415FD"/>
    <w:rsid w:val="00C568D3"/>
    <w:rsid w:val="01791714"/>
    <w:rsid w:val="01E24C6C"/>
    <w:rsid w:val="04FD35D1"/>
    <w:rsid w:val="0B41054B"/>
    <w:rsid w:val="0B6902FF"/>
    <w:rsid w:val="0E5E4367"/>
    <w:rsid w:val="13D824C6"/>
    <w:rsid w:val="16AF6B2B"/>
    <w:rsid w:val="1CAB662F"/>
    <w:rsid w:val="1DE324B7"/>
    <w:rsid w:val="1F056359"/>
    <w:rsid w:val="1F3256C4"/>
    <w:rsid w:val="20383A6B"/>
    <w:rsid w:val="204068EB"/>
    <w:rsid w:val="21837F15"/>
    <w:rsid w:val="234C0C7F"/>
    <w:rsid w:val="23C6111E"/>
    <w:rsid w:val="24B60063"/>
    <w:rsid w:val="26286A96"/>
    <w:rsid w:val="27BB1152"/>
    <w:rsid w:val="297665B1"/>
    <w:rsid w:val="2B9F1822"/>
    <w:rsid w:val="2C680D24"/>
    <w:rsid w:val="2CCC3CB8"/>
    <w:rsid w:val="2D8E18B6"/>
    <w:rsid w:val="2E894691"/>
    <w:rsid w:val="2F714459"/>
    <w:rsid w:val="2FF344B8"/>
    <w:rsid w:val="30CC6AB7"/>
    <w:rsid w:val="31962945"/>
    <w:rsid w:val="32931F82"/>
    <w:rsid w:val="33421919"/>
    <w:rsid w:val="34646F75"/>
    <w:rsid w:val="35047383"/>
    <w:rsid w:val="36840C98"/>
    <w:rsid w:val="38B247E4"/>
    <w:rsid w:val="3A16323D"/>
    <w:rsid w:val="40133658"/>
    <w:rsid w:val="41AC1F07"/>
    <w:rsid w:val="43B971EC"/>
    <w:rsid w:val="43E83AD5"/>
    <w:rsid w:val="445A0F1F"/>
    <w:rsid w:val="45556654"/>
    <w:rsid w:val="493B2B7D"/>
    <w:rsid w:val="4B37479B"/>
    <w:rsid w:val="4BB02E05"/>
    <w:rsid w:val="4E6B3680"/>
    <w:rsid w:val="53C56E40"/>
    <w:rsid w:val="56931C35"/>
    <w:rsid w:val="58914A84"/>
    <w:rsid w:val="60CE2807"/>
    <w:rsid w:val="61A60ADB"/>
    <w:rsid w:val="6215456B"/>
    <w:rsid w:val="623528F7"/>
    <w:rsid w:val="65B0017A"/>
    <w:rsid w:val="65E70E90"/>
    <w:rsid w:val="67A8575E"/>
    <w:rsid w:val="67C23C32"/>
    <w:rsid w:val="690B6848"/>
    <w:rsid w:val="6C4C41D2"/>
    <w:rsid w:val="6CE1330F"/>
    <w:rsid w:val="6CF43042"/>
    <w:rsid w:val="6ECD4884"/>
    <w:rsid w:val="6F733C5D"/>
    <w:rsid w:val="6FF11ABB"/>
    <w:rsid w:val="71500A63"/>
    <w:rsid w:val="72250313"/>
    <w:rsid w:val="72541E8D"/>
    <w:rsid w:val="7B366602"/>
    <w:rsid w:val="7BD54448"/>
    <w:rsid w:val="7E212A62"/>
    <w:rsid w:val="7F1E26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Body text|2"/>
    <w:basedOn w:val="1"/>
    <w:qFormat/>
    <w:uiPriority w:val="0"/>
    <w:pPr>
      <w:shd w:val="clear" w:color="auto" w:fill="FFFFFF"/>
      <w:spacing w:before="860" w:beforeLines="0" w:after="1600" w:afterLines="0" w:line="300" w:lineRule="exact"/>
      <w:jc w:val="center"/>
    </w:pPr>
    <w:rPr>
      <w:rFonts w:ascii="PMingLiU_x0004_falt" w:hAnsi="PMingLiU_x0004_falt" w:eastAsia="PMingLiU_x0004_falt" w:cs="PMingLiU_x0004_falt"/>
      <w:spacing w:val="5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3927</Words>
  <Characters>4229</Characters>
  <Lines>27</Lines>
  <Paragraphs>7</Paragraphs>
  <TotalTime>29</TotalTime>
  <ScaleCrop>false</ScaleCrop>
  <LinksUpToDate>false</LinksUpToDate>
  <CharactersWithSpaces>4254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2022-05-30T00:40:00Z</cp:lastPrinted>
  <dcterms:modified xsi:type="dcterms:W3CDTF">2022-05-30T01:14:08Z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26463C87048F4217A035EC5C745561DF</vt:lpwstr>
  </property>
</Properties>
</file>