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202</w:t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  <w:lang w:val="en-US" w:eastAsia="zh-CN"/>
        </w:rPr>
        <w:t>2</w:t>
      </w:r>
      <w:r>
        <w:rPr>
          <w:rStyle w:val="6"/>
          <w:rFonts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年</w:t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  <w:lang w:eastAsia="zh-CN"/>
        </w:rPr>
        <w:t>罗山县史志研究室</w:t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部门预算公开</w:t>
      </w:r>
    </w:p>
    <w:p>
      <w:pPr>
        <w:widowControl/>
        <w:shd w:val="clear" w:color="auto" w:fill="FFFFFF"/>
        <w:spacing w:before="300" w:line="420" w:lineRule="atLeast"/>
        <w:rPr>
          <w:rFonts w:ascii="微软雅黑" w:hAnsi="微软雅黑" w:eastAsia="微软雅黑" w:cs="微软雅黑"/>
          <w:color w:val="666666"/>
          <w:szCs w:val="21"/>
        </w:rPr>
      </w:pPr>
      <w:r>
        <w:rPr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6"/>
          <w:szCs w:val="36"/>
          <w:shd w:val="clear" w:color="auto" w:fill="FFFFFF"/>
        </w:rPr>
        <w:t>目 录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第一部分 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  <w:lang w:eastAsia="zh-CN"/>
        </w:rPr>
        <w:t>罗山县史志研究室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概况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一、主要职能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二、机构设置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三、部门预算单位构成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第二部分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年度部门预算情况说明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第三部分 名词解释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附件：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年度部门预算表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一、部门收支总体情况表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二、部门收入总</w:t>
      </w:r>
      <w:bookmarkStart w:id="0" w:name="_GoBack"/>
      <w:bookmarkEnd w:id="0"/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三、部门支出总体情况表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四、财政拨款收支总体情况表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五、一般公共预算支出情况表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六、一般公共预算基本支出情况表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七、一般公共预算“三公”经费支出情况表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八、政府性基金预算支出情况表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九、部门（单位）整体绩效目标表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pacing w:before="300"/>
        <w:jc w:val="left"/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第一部分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主要职责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根据《关于印发罗山县史志研究室机构编制方案的通知》（罗编[2002]52号）文件，罗山县史志研究室，为县委直属单位，机构规格正科级。主要职责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1、贯彻落实党和国家关于党史、地方史志工作的方针、政策和规定；指导各乡镇、县直各部门党史工作的开展和史志编纂工作。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2、负责续写每一历史时期县本级党史正本工作。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3、负责当年党史大事记编写、出版及上报市委的工作。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4、负责中共罗山县党史和史志资料的管理；建立全县党史和史志资料信息网络，提高利用率，及时为党委系统和政府各部门提供服务。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5、开展罗山红色资源的宣传教育，负责革命根据地史、社会主义重大专题史、党史人物传、党史普及读物等重要书刊的编辑、审查、出版和发行工作。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6、负责县本级志书的资料征集、整理、编纂、出版工作；指导乡镇志，县直部门志的编辑出版工作；为上级志书罗山篇提供资料。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7、负责《罗山年鉴》的编辑出版工作，并为《信阳年鉴•罗山卷》撰稿；负责指导、管理乡镇年鉴编辑出版工作。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8、负责整理、点校、再版罗山旧志。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9、负责本县方志资源、姓氏源流资源的开发，拓展史志为现实服务的领域，指导修志、用志活动；负责本县各类地情资料书刊，地方志音像制品的编辑、审定、出版工作。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10、承办县委、县政府交办的其他事项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。</w:t>
      </w:r>
    </w:p>
    <w:p>
      <w:pPr>
        <w:widowControl/>
        <w:shd w:val="clear" w:color="000000" w:fill="FFFFFF"/>
        <w:spacing w:line="450" w:lineRule="atLeast"/>
        <w:ind w:left="24" w:leftChars="0" w:hanging="24" w:hangingChars="9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机构设置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罗山县史志研究室下设：办公室。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预算单位构成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二级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单位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本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本级预算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包括：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1.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000000" w:fill="FFFFFF"/>
        <w:spacing w:line="450" w:lineRule="atLeast"/>
        <w:ind w:left="24" w:leftChars="0" w:hanging="24" w:hangingChars="9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第二部分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年度部门预算情况说明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一、收入支出预算总体情况说明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年收入总计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41.1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万元，支出总计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41.1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万元，与202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年预算相比，收入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4.3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11.68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%。主要原因：人员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工资晋级晋档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，经费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;支出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4.3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11.68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%。主要原因：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工资晋级晋档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，经费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二、收入预算总体情况说明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年收入合计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41.1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万元，其中：一般公共预算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41.1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万元; 政府性基金收入0万元；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国有资本经营预算收入0万元，专户管理的收入0万元，其他收入0万元，部门结转资金0万元。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三、支出预算总体情况说明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年支出合计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41.1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万元，其中：基本支出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41.1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100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%；项目支出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四、财政拨款收入支出预算总体情况说明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年一般公共预算收支预算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41.1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万元，政府性基金收支预算0万元。与 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年相比，一般公共预算收支预算各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4.3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11.68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%，主要原因：人员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工资晋级晋档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，经费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；政府性基金收支预算增加0万元，与202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年相比无差异。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五、一般公共预算支出预算情况说明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年一般公共预算支出年初预算为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41.1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万元。主要用于以下方面：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一般公共服务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33.6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万元，占年初预算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81.75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%；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社会保障和就业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3.8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万元，占年初预算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9.25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%；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医疗卫生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1.5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万元，占年初预算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3.65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%；住房保障类支出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2.2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万元，占年初预算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5.35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六、一般公共预算基本支出预算情况说明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罗山县史志研究室2022年一般公共预算基本支出41.1万元，其中：人员经费40.1万元，主要包括：基本工资、津贴补贴、奖金、社会保障缴费、绩效工资、离休费、退休费、遗属补助、住房公积金等；公用经费1万元，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七、政府性基金预算支出预算情况说明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年无使用政府性基金预算拨款安排的支出。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 “三公”经费支出预算情况说明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年“三公”经费预算为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年“三公”经费支出预算数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相比无差异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具体支出情况如下：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（一）因公出国（境）费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0万元，主要用于单位工作人员公务出国（境）的住宿费、旅费、伙食补助费、杂费、培训费等支出。预算数比 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年增加0万元，与202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年相比无差异。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（二）公务用车购置及运行费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万元，其中，公务用车购置费0万元；公务用车运行维护费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万元，主要用于开展工作所需公务用车的燃料费、维修费、过路过桥费、保险费、安全奖励费用等支出。公务用车购置费预算数比 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年增加0万元，与202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年相比无差异。公务用车运行维护费预算数比 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（三）公务接待费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万元，主要用于按规定开支的各类公务接待（含外宾接待）支出。预算数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相比无差异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</w:p>
    <w:p>
      <w:pPr>
        <w:widowControl/>
        <w:numPr>
          <w:ilvl w:val="0"/>
          <w:numId w:val="1"/>
        </w:numPr>
        <w:spacing w:before="300"/>
        <w:jc w:val="left"/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其他重要事项情况说明（以下情况金额为0的，仍需进行情况说明）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（一）机关运行经费支出情况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年机关运行经费支出预算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万元，主要保障机构正常运转及正常履职需要，完成预算年度主要工作任务需要。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（二）政府采购支出情况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单位政府采购预算总额为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0万元。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（三）绩效目标设置情况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罗山县史志研究室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2022年没有开展项目预算绩效评价。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75" w:leftChars="-5" w:hanging="285" w:hangingChars="105"/>
        <w:jc w:val="left"/>
        <w:textAlignment w:val="auto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国有资产占用情况。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-110" w:firstLine="810" w:firstLineChars="300"/>
        <w:jc w:val="left"/>
        <w:textAlignment w:val="auto"/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202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年期末，罗山县史志研究室共有车辆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辆，其中：一般公务用车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辆、一般执法执勤用车0辆、特种专业技术用车0辆，其他用车0辆；单价50万元以上通用设备0台（套），单位价值100万元以上专用设备0台（套）。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微软雅黑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第三部分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名词解释</w:t>
      </w:r>
    </w:p>
    <w:p>
      <w:pPr>
        <w:widowControl/>
        <w:spacing w:before="300"/>
        <w:jc w:val="left"/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一、财政拨款收入：是指省级财政当年拨付的资金。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二、事业收入：是指事业单位开展专业活动及辅助活动所取 得的收入。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三、其他收入：是指部门取得的除“财政拨款”、“事业收入”、“事业单位经营收入”等以外的收入。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六、项目支出：是指在基本支出之外，为完成特定的行政工作任务或事业发展目标所发生的支出。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附件: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tbl>
      <w:tblPr>
        <w:tblStyle w:val="4"/>
        <w:tblW w:w="67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6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color w:val="2E2E2E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" name="图片 1" descr="IMG_25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color w:val="2E2E2E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"http://czj.xinyang.gov.cn/uploads/soft/210707/6-210FG53600.xlsx" \t "http://czj.xinyang.gov.cn/c/392/2021/0707/_blank" </w:instrText>
            </w:r>
            <w: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t>202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  <w:lang w:val="en-US" w:eastAsia="zh-CN"/>
              </w:rPr>
              <w:t>2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t>年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  <w:lang w:eastAsia="zh-CN"/>
              </w:rPr>
              <w:t>罗山县史志研究室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t>部门预算公开表</w:t>
            </w:r>
            <w:r>
              <w:rPr>
                <w:rStyle w:val="7"/>
                <w:rFonts w:hint="eastAsia" w:ascii="微软雅黑" w:hAnsi="微软雅黑" w:eastAsia="微软雅黑" w:cs="微软雅黑"/>
                <w:color w:val="6E6E6E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spacing w:before="300"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FE7F"/>
    <w:multiLevelType w:val="singleLevel"/>
    <w:tmpl w:val="386CFE7F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275FAC"/>
    <w:multiLevelType w:val="singleLevel"/>
    <w:tmpl w:val="6B275FAC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914A84"/>
    <w:rsid w:val="002A1DBF"/>
    <w:rsid w:val="005956C0"/>
    <w:rsid w:val="00A415FD"/>
    <w:rsid w:val="184F2661"/>
    <w:rsid w:val="212E1B07"/>
    <w:rsid w:val="323F582D"/>
    <w:rsid w:val="33B5180A"/>
    <w:rsid w:val="35D30E4D"/>
    <w:rsid w:val="58914A84"/>
    <w:rsid w:val="640C26BB"/>
    <w:rsid w:val="690B6848"/>
    <w:rsid w:val="6937320C"/>
    <w:rsid w:val="6D980811"/>
    <w:rsid w:val="7E5522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czj.xinyang.gov.cn/uploads/soft/210707/6-210FG53600.xlsx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578</Words>
  <Characters>3295</Characters>
  <Lines>27</Lines>
  <Paragraphs>7</Paragraphs>
  <TotalTime>0</TotalTime>
  <ScaleCrop>false</ScaleCrop>
  <LinksUpToDate>false</LinksUpToDate>
  <CharactersWithSpaces>3866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Administrator</cp:lastModifiedBy>
  <cp:lastPrinted>2022-05-17T09:55:00Z</cp:lastPrinted>
  <dcterms:modified xsi:type="dcterms:W3CDTF">2022-05-17T09:55:12Z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