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县供销社深入开展城乡人居环境整治工作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贯彻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习近平总书记关于改善农村人居环境的重要指示批示精神，省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关于开展农村人居环境集中整治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的部署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县供销社结合实际，深入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治理“六乱”、开展 “六清”，用实际行动促进改善城乡人居环境。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一是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>严格执行“13710”工作制度，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召开专题会议全面部署安排县供销社人居环境整治工作。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二是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利用电子LED屏、微信工作群及志愿者现场宣传等多形式正面宣传人居环境整治工作，大力营造全民参与的良好氛围。并从“我”做起，全面开展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县供销社机关院落环境卫生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整治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三是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推行“一线工作法”，县供销社班子成员深入包保乡村现场推动人居环境整治工作，并会同乡村干部进行实地检查，对门前三包还没整治到位的商户和住户提出整改要求，以及一些卫生死角进一步清理，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确保达到“净起来、绿起来、亮起来、美起来”人居环境整治工作要求。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充分发挥党员干部先进模范带头作用，组织志愿者在责任路段、无物业小区开展卫生清理，营造氛围，促进形成人人参与、齐抓共管的良好局面。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5262880" cy="7015480"/>
            <wp:effectExtent l="0" t="0" r="13970" b="13970"/>
            <wp:docPr id="1" name="图片 1" descr="微信图片_2021121516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151648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通过此次开展人居环境整治行动，不仅提高了人民群众的生态环保意识，改善了户容户貌，也进一步营造出人人参与、共建美丽罗山的良好氛围。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B13FB"/>
    <w:rsid w:val="0CE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2022-02-18T08:05:00Z</dcterms:created>
  <dc:creator>徐正威</dc:creator>
  <cp:lastModifiedBy>徐正威</cp:lastModifiedBy>
  <dcterms:modified xsi:type="dcterms:W3CDTF">2022-02-18T08:07:48Z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3435611E10214C5D9D311D4179636C6C</vt:lpwstr>
  </property>
</Properties>
</file>