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294"/>
        <w:tblOverlap w:val="never"/>
        <w:tblW w:w="0" w:type="auto"/>
        <w:jc w:val="center"/>
        <w:shd w:val="clear" w:color="auto" w:fill="auto"/>
        <w:tblLayout w:type="autofit"/>
        <w:tblCellMar>
          <w:top w:w="0" w:type="dxa"/>
          <w:left w:w="0" w:type="dxa"/>
          <w:bottom w:w="0" w:type="dxa"/>
          <w:right w:w="0" w:type="dxa"/>
        </w:tblCellMar>
      </w:tblPr>
      <w:tblGrid>
        <w:gridCol w:w="399"/>
        <w:gridCol w:w="1084"/>
        <w:gridCol w:w="2745"/>
        <w:gridCol w:w="2576"/>
        <w:gridCol w:w="665"/>
        <w:gridCol w:w="4851"/>
        <w:gridCol w:w="617"/>
        <w:gridCol w:w="729"/>
        <w:gridCol w:w="358"/>
      </w:tblGrid>
      <w:tr>
        <w:tblPrEx>
          <w:shd w:val="clear" w:color="auto" w:fill="auto"/>
          <w:tblCellMar>
            <w:top w:w="0" w:type="dxa"/>
            <w:left w:w="0" w:type="dxa"/>
            <w:bottom w:w="0" w:type="dxa"/>
            <w:right w:w="0" w:type="dxa"/>
          </w:tblCellMar>
        </w:tblPrEx>
        <w:trPr>
          <w:trHeight w:val="600" w:hRule="atLeast"/>
          <w:jc w:val="center"/>
        </w:trPr>
        <w:tc>
          <w:tcPr>
            <w:tcW w:w="0" w:type="auto"/>
            <w:gridSpan w:val="9"/>
            <w:tcBorders>
              <w:top w:val="nil"/>
              <w:left w:val="nil"/>
              <w:bottom w:val="nil"/>
              <w:right w:val="nil"/>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b/>
                <w:i w:val="0"/>
                <w:caps w:val="0"/>
                <w:color w:val="000000"/>
                <w:spacing w:val="0"/>
                <w:w w:val="100"/>
                <w:kern w:val="0"/>
                <w:sz w:val="44"/>
                <w:szCs w:val="44"/>
                <w:lang w:val="en-US" w:eastAsia="zh-CN"/>
              </w:rPr>
            </w:pPr>
            <w:r>
              <w:rPr>
                <w:rFonts w:hint="eastAsia" w:ascii="仿宋" w:hAnsi="仿宋" w:eastAsia="仿宋" w:cs="仿宋"/>
                <w:b/>
                <w:i w:val="0"/>
                <w:caps w:val="0"/>
                <w:color w:val="000000"/>
                <w:spacing w:val="0"/>
                <w:w w:val="100"/>
                <w:kern w:val="0"/>
                <w:sz w:val="44"/>
                <w:szCs w:val="44"/>
                <w:lang w:val="en-US" w:eastAsia="zh-CN"/>
              </w:rPr>
              <w:t>罗山县人力资源和社会保障局“跨省通办”事项清单</w:t>
            </w:r>
            <w:bookmarkStart w:id="0" w:name="_GoBack"/>
            <w:bookmarkEnd w:id="0"/>
          </w:p>
          <w:p>
            <w:pPr>
              <w:keepLines w:val="0"/>
              <w:widowControl/>
              <w:suppressLineNumbers w:val="0"/>
              <w:snapToGrid w:val="0"/>
              <w:spacing w:before="0" w:beforeAutospacing="0" w:after="0" w:afterAutospacing="0" w:line="240" w:lineRule="auto"/>
              <w:jc w:val="left"/>
              <w:textAlignment w:val="center"/>
              <w:rPr>
                <w:rFonts w:hint="default" w:ascii="仿宋" w:hAnsi="仿宋" w:eastAsia="仿宋" w:cs="仿宋"/>
                <w:b/>
                <w:i w:val="0"/>
                <w:caps w:val="0"/>
                <w:color w:val="000000"/>
                <w:spacing w:val="0"/>
                <w:w w:val="100"/>
                <w:kern w:val="0"/>
                <w:sz w:val="24"/>
                <w:szCs w:val="24"/>
                <w:lang w:val="en-US" w:eastAsia="zh-CN"/>
              </w:rPr>
            </w:pP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rPr>
            </w:pPr>
            <w:r>
              <w:rPr>
                <w:rFonts w:hint="eastAsia" w:ascii="仿宋" w:hAnsi="仿宋" w:eastAsia="仿宋" w:cs="仿宋"/>
                <w:b/>
                <w:bCs/>
                <w:i w:val="0"/>
                <w:caps w:val="0"/>
                <w:color w:val="000000"/>
                <w:spacing w:val="0"/>
                <w:w w:val="100"/>
                <w:kern w:val="0"/>
                <w:sz w:val="24"/>
                <w:szCs w:val="24"/>
                <w:lang w:val="en-US" w:eastAsia="zh-CN"/>
              </w:rPr>
              <w:t>序号</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sz w:val="24"/>
                <w:szCs w:val="24"/>
                <w:lang w:val="en-US" w:eastAsia="zh-CN"/>
              </w:rPr>
              <w:t>基本目录主项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基本目录子项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rPr>
            </w:pPr>
            <w:r>
              <w:rPr>
                <w:rFonts w:hint="eastAsia" w:ascii="仿宋" w:hAnsi="仿宋" w:eastAsia="仿宋" w:cs="仿宋"/>
                <w:b/>
                <w:bCs/>
                <w:i w:val="0"/>
                <w:caps w:val="0"/>
                <w:color w:val="000000"/>
                <w:spacing w:val="0"/>
                <w:w w:val="100"/>
                <w:sz w:val="24"/>
                <w:szCs w:val="24"/>
                <w:lang w:val="en-US" w:eastAsia="zh-CN"/>
              </w:rPr>
              <w:t>事项类型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业务办理项名称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实施层级</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是否跨省通办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备注</w:t>
            </w: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劳务派遣经营许可（新办）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劳务派遣经营许可（法人变更）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劳务派遣经营许可（名称变更）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劳务派遣经营许可（变更住所）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劳务派遣经营许可（变更注册资本）</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城镇职工基本养老保险与城乡居民基本养老保险制度衔接申请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城乡居民养老保险转入城镇企业职工基本养老保险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档案的转递</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档案查阅服务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档案借阅服务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18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存档人员党员组织关系的接转</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存档人员党员组织关系的转出（省内）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就业见习补贴申领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求职创业补贴申领（毕业年度内离校未就业高校毕业生）</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机关单位社会保险登记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事业单位社会保险登记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军队用人单位社会保险登记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参保单位注销</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29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招录,录用,企业调入,退伍兵安置等首次在机关事业单位参加工作的人员参保登记（机关事业单位养老保险）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军队转业干部参保登记（机关事业单位养老保险）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省内机关事业单位已参保人员恢复缴费（机关事业单位养老保险）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机关事业单位之间跨省调入人员参保登记（机关事业单位养老保险）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新招录聘用的部队文职人员参保登记（机关事业单位养老保险）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现役干部、士兵转改的部队文职人员参保登记（机关事业单位养老保险）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纳编的原社会招聘部队文职人员参保登记（机关事业单位养老保险）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机关事业单位关键信息变更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机关事业单位在职人员关键信息变更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39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机关事业单位在职人员基本信息变更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机关事业单位退休人员基本信息变更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机关事业单位退休人员关键信息变更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机关事业单位人员社会化发放信息变更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机关事业单位账户信息维护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缴费人员增减申报</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机关事业单位养老保险关系中断</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机关事业单位在职人员缴费工资基数申报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48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49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职工正常退休(职)申请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机关事业单位正常退休人员养老保险待遇（正式待遇）申领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职工提前退休（退职）申请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机关事业单位提前退休人员养老保险待遇（正式待遇）申领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机关事业单位退休人员死亡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机关事业单位退休人员经人民法院宣告死亡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机关事业单位退休人员经人民法院宣告失踪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机关事业单位退休人员超期未进行养老金领取资格认证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机关事业单位退休人员重复领取养老保险待遇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机关事业单位退休人员改革改制等特殊原因停发养老保险待遇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机关事业单位退休人员被刑事拘留在逃或批准逮捕在逃停发养老保险待遇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机关事业单位退休人员被判处有期徒刑以上刑罚取消养老保险待遇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59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机关事业单位退休人员因违纪取消养老保险待遇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60</w:t>
            </w:r>
          </w:p>
          <w:p>
            <w:pPr>
              <w:jc w:val="center"/>
              <w:rPr>
                <w:rFonts w:hint="eastAsia" w:ascii="仿宋" w:hAnsi="仿宋" w:eastAsia="仿宋" w:cs="仿宋"/>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机关事业单位在职人员死亡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61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机关事业单位在职人员丧失中国国籍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机关事业单位在职人员达到退休年龄缴费不足15年且本人自愿终止养老保险关系（放弃一次性缴费至满15年）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省外机关事业单位基本养老保险转入省内机关事业单位养老保险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省内机关事业单位养老保险转出到省外机关事业单位基本养老保险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企业职工基本养老保险关系转入机关事业单位养老保险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机关事业单位养老保险转出到企业职工基本养老保险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用人单位就业登记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69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个人就业登记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开业补贴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运营补贴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大众创业扶持项目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就业困难人员认定</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就业困难人员（零就业家庭）申请认定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75</w:t>
            </w: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求职创业补贴申领（贫困劳动力）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灵活就业困难人员社保补贴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招用困难人员就业单位的社保补贴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78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79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求职创业补贴申领（毕业年度困难高校毕业生）</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灵活就业高校毕业生社保补贴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招用高校毕业生就业单位的社保补贴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政府购岗社保补贴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社会保障卡启用（含社会保障卡银行账户激活）</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社会保障卡启用（含社会保障卡银行账户激活）</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社会保障卡应用状态查询</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社会保障卡应用状态查询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88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社会保障卡非卡面信息变更</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社会保障卡非卡面信息变更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89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社会保障卡密码修改与重置</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社会保障卡密码修改与重置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90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91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社会保障卡解挂</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社会保障卡解挂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92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社会保障卡补领、换领、换发</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社会保障卡补领、换领、换发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p>
          <w:p>
            <w:pPr>
              <w:jc w:val="center"/>
              <w:rPr>
                <w:rFonts w:hint="eastAsia" w:ascii="仿宋" w:hAnsi="仿宋" w:eastAsia="仿宋" w:cs="仿宋"/>
                <w:lang w:val="en-US" w:eastAsia="zh-CN"/>
              </w:rPr>
            </w:pPr>
            <w:r>
              <w:rPr>
                <w:rFonts w:hint="eastAsia" w:ascii="仿宋" w:hAnsi="仿宋" w:eastAsia="仿宋" w:cs="仿宋"/>
                <w:lang w:val="en-US" w:eastAsia="zh-CN"/>
              </w:rPr>
              <w:t>93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社会保障卡注销</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工伤保险服务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职业培训</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民办职业培训学校分立、合并审批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民办职业培训学校变更审批（举办者变更）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99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民办职业培训学校变更审批（法定代表人变更）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民办职业培训学校变更审批（办学地址变更）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民办职业培训学校变更审批（名称变更）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民办职业培训学校终止审批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民办职业培训学校延续审批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职业技能鉴定补贴申领（个人申领）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职业技能鉴定补贴申领（鉴定机构申领）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专业技术人员管理服务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职称申报评审及证书管理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职称证书管理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创业担保贷款申请（个人创业）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109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创业担保贷款申请（小微企业）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110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企业实行不定时工作制和综合计算工时工作制审批</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企业实行不定时工作制和综合计算工时工作制审批</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spacing w:val="0"/>
                <w:w w:val="100"/>
                <w:sz w:val="24"/>
                <w:szCs w:val="24"/>
              </w:rPr>
              <w:t>企业实行不定时工作制和综合计算工时工作制审批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111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112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w:t>
            </w:r>
            <w:r>
              <w:rPr>
                <w:rFonts w:hint="eastAsia" w:ascii="仿宋" w:hAnsi="仿宋" w:eastAsia="仿宋" w:cs="仿宋"/>
                <w:b w:val="0"/>
                <w:i w:val="0"/>
                <w:caps w:val="0"/>
                <w:color w:val="000000"/>
                <w:spacing w:val="0"/>
                <w:w w:val="100"/>
                <w:sz w:val="24"/>
                <w:szCs w:val="24"/>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113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bidi w:val="0"/>
              <w:ind w:firstLine="340" w:firstLineChars="0"/>
              <w:jc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具有劳动争议失业人员失业保险待遇申领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115</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刑满释放失业人员失业保险待遇申领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116</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失业保险待遇申领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117</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失业人员死亡（无供养亲属）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118</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失业人员死亡（有供养亲属）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119</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121</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122</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123</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124</w:t>
            </w:r>
          </w:p>
        </w:tc>
        <w:tc>
          <w:tcPr>
            <w:tcW w:w="108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7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技能提升补贴申领</w:t>
            </w:r>
          </w:p>
        </w:tc>
        <w:tc>
          <w:tcPr>
            <w:tcW w:w="66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职业技能提升补贴申领</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125</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126</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工伤保险社会化发放信息变更</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127</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工伤保险单位发放信息变更</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128</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工伤认定信息登记</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ind w:firstLine="240" w:firstLineChars="100"/>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129</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变更工伤信息登记</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130</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131</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132</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133</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134</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35</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36</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37</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38</w:t>
            </w:r>
          </w:p>
        </w:tc>
        <w:tc>
          <w:tcPr>
            <w:tcW w:w="10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25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6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39</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41</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一次性伤残补助金申领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42</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伤残津贴和生活护理费申领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43</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一次性工亡补助金申领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144</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供养亲属抚恤金申领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145</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供养亲属抚恤金调整</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146</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供养亲属抚恤金停发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147</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供养亲属抚恤金续发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148</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伤残津贴调整</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149</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伤残津贴停发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伤残津贴续发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151</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护理费调整</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152</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护理费停发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153</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护理费续发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154</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rPr>
            </w:pPr>
          </w:p>
          <w:p>
            <w:pPr>
              <w:jc w:val="center"/>
              <w:rPr>
                <w:rFonts w:hint="default" w:ascii="仿宋" w:hAnsi="仿宋" w:eastAsia="仿宋" w:cs="仿宋"/>
                <w:lang w:val="en-US" w:eastAsia="zh-CN"/>
              </w:rPr>
            </w:pPr>
            <w:r>
              <w:rPr>
                <w:rFonts w:hint="eastAsia" w:ascii="仿宋" w:hAnsi="仿宋" w:eastAsia="仿宋" w:cs="仿宋"/>
                <w:lang w:val="en-US" w:eastAsia="zh-CN"/>
              </w:rPr>
              <w:t>155</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156</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157</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bl>
    <w:p>
      <w:pPr>
        <w:snapToGrid w:val="0"/>
        <w:spacing w:before="184" w:beforeAutospacing="0" w:after="0" w:afterAutospacing="0" w:line="188" w:lineRule="auto"/>
        <w:jc w:val="both"/>
        <w:textAlignment w:val="baseline"/>
        <w:rPr>
          <w:rFonts w:hint="default" w:ascii="黑体" w:hAnsi="黑体" w:eastAsia="黑体" w:cs="黑体"/>
          <w:b w:val="0"/>
          <w:i w:val="0"/>
          <w:caps w:val="0"/>
          <w:spacing w:val="0"/>
          <w:w w:val="100"/>
          <w:sz w:val="32"/>
          <w:szCs w:val="32"/>
          <w:lang w:val="en-US" w:eastAsia="zh-CN"/>
        </w:rPr>
        <w:sectPr>
          <w:pgSz w:w="16839" w:h="11906" w:orient="landscape"/>
          <w:pgMar w:top="1584" w:right="1431" w:bottom="1495" w:left="1408" w:header="0" w:footer="1194"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26DF2"/>
    <w:rsid w:val="197835F0"/>
    <w:rsid w:val="28E85C67"/>
    <w:rsid w:val="36273388"/>
    <w:rsid w:val="36703953"/>
    <w:rsid w:val="37FB0237"/>
    <w:rsid w:val="3AD71098"/>
    <w:rsid w:val="682A73AC"/>
    <w:rsid w:val="7E48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2021-12-07T07:39:00Z</dcterms:created>
  <dc:creator>Administrator.USER-20190318YO</dc:creator>
  <cp:lastModifiedBy>@方大</cp:lastModifiedBy>
  <dcterms:modified xsi:type="dcterms:W3CDTF">2021-12-20T07:38:14Z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B3958FEACFDB484185C2206129D07AAD</vt:lpwstr>
  </property>
</Properties>
</file>