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color w:val="auto"/>
          <w:sz w:val="36"/>
          <w:szCs w:val="36"/>
        </w:rPr>
      </w:pPr>
      <w:bookmarkStart w:id="0" w:name="_GoBack"/>
      <w:r>
        <w:rPr>
          <w:rFonts w:hint="eastAsia"/>
          <w:color w:val="auto"/>
          <w:sz w:val="36"/>
          <w:szCs w:val="36"/>
          <w:highlight w:val="none"/>
          <w:lang w:val="en-US" w:eastAsia="zh-CN"/>
        </w:rPr>
        <w:t>罗山县生态环境局</w:t>
      </w:r>
      <w:r>
        <w:rPr>
          <w:rFonts w:hint="eastAsia"/>
          <w:color w:val="auto"/>
          <w:sz w:val="36"/>
          <w:szCs w:val="36"/>
        </w:rPr>
        <w:t>关于</w:t>
      </w:r>
      <w:r>
        <w:rPr>
          <w:rFonts w:hint="eastAsia"/>
          <w:bCs/>
          <w:color w:val="auto"/>
          <w:sz w:val="36"/>
          <w:szCs w:val="36"/>
        </w:rPr>
        <w:t>罗山县引九济石工程</w:t>
      </w:r>
      <w:r>
        <w:rPr>
          <w:rFonts w:hint="eastAsia"/>
          <w:color w:val="auto"/>
          <w:sz w:val="36"/>
          <w:szCs w:val="36"/>
        </w:rPr>
        <w:t>环境影响评价文件做出审批意见的公示</w:t>
      </w:r>
    </w:p>
    <w:bookmarkEnd w:id="0"/>
    <w:p>
      <w:pPr>
        <w:ind w:firstLine="420"/>
        <w:textAlignment w:val="baseline"/>
        <w:rPr>
          <w:color w:val="000000" w:themeColor="text1"/>
          <w:sz w:val="28"/>
          <w:szCs w:val="28"/>
          <w:highlight w:val="none"/>
          <w14:textFill>
            <w14:solidFill>
              <w14:schemeClr w14:val="tx1"/>
            </w14:solidFill>
          </w14:textFill>
        </w:rPr>
      </w:pPr>
      <w:r>
        <w:rPr>
          <w:rFonts w:hint="eastAsia"/>
          <w:color w:val="auto"/>
          <w:sz w:val="28"/>
          <w:szCs w:val="28"/>
        </w:rPr>
        <w:t>根据建设项目环境影响评价审批程序的有关规定，我局拟对罗山县引九济石工程环境影响评价文件进行审查。现将拟审查的环境影响评价文件基本情况予以公示，公示期为</w:t>
      </w:r>
      <w:r>
        <w:rPr>
          <w:rFonts w:hint="eastAsia"/>
          <w:color w:val="auto"/>
          <w:sz w:val="28"/>
          <w:szCs w:val="28"/>
          <w:lang w:val="en-US" w:eastAsia="zh-CN"/>
        </w:rPr>
        <w:t>5</w:t>
      </w:r>
      <w:r>
        <w:rPr>
          <w:rFonts w:hint="eastAsia"/>
          <w:color w:val="auto"/>
          <w:sz w:val="28"/>
          <w:szCs w:val="28"/>
          <w:highlight w:val="none"/>
        </w:rPr>
        <w:t>个工作日，</w:t>
      </w:r>
      <w:r>
        <w:rPr>
          <w:rFonts w:hint="eastAsia"/>
          <w:color w:val="000000" w:themeColor="text1"/>
          <w:sz w:val="28"/>
          <w:szCs w:val="28"/>
          <w:highlight w:val="none"/>
          <w14:textFill>
            <w14:solidFill>
              <w14:schemeClr w14:val="tx1"/>
            </w14:solidFill>
          </w14:textFill>
        </w:rPr>
        <w:t>即公示期为2021年</w:t>
      </w:r>
      <w:r>
        <w:rPr>
          <w:rFonts w:hint="eastAsia"/>
          <w:color w:val="000000" w:themeColor="text1"/>
          <w:sz w:val="28"/>
          <w:szCs w:val="28"/>
          <w:highlight w:val="none"/>
          <w:lang w:val="en-US" w:eastAsia="zh-CN"/>
          <w14:textFill>
            <w14:solidFill>
              <w14:schemeClr w14:val="tx1"/>
            </w14:solidFill>
          </w14:textFill>
        </w:rPr>
        <w:t>9</w:t>
      </w:r>
      <w:r>
        <w:rPr>
          <w:rFonts w:hint="eastAsia"/>
          <w:color w:val="000000" w:themeColor="text1"/>
          <w:sz w:val="28"/>
          <w:szCs w:val="28"/>
          <w:highlight w:val="none"/>
          <w14:textFill>
            <w14:solidFill>
              <w14:schemeClr w14:val="tx1"/>
            </w14:solidFill>
          </w14:textFill>
        </w:rPr>
        <w:t>月2</w:t>
      </w:r>
      <w:r>
        <w:rPr>
          <w:rFonts w:hint="eastAsia"/>
          <w:color w:val="000000" w:themeColor="text1"/>
          <w:sz w:val="28"/>
          <w:szCs w:val="28"/>
          <w:highlight w:val="none"/>
          <w:lang w:val="en-US" w:eastAsia="zh-CN"/>
          <w14:textFill>
            <w14:solidFill>
              <w14:schemeClr w14:val="tx1"/>
            </w14:solidFill>
          </w14:textFill>
        </w:rPr>
        <w:t>3</w:t>
      </w:r>
      <w:r>
        <w:rPr>
          <w:rFonts w:hint="eastAsia"/>
          <w:color w:val="000000" w:themeColor="text1"/>
          <w:sz w:val="28"/>
          <w:szCs w:val="28"/>
          <w:highlight w:val="none"/>
          <w14:textFill>
            <w14:solidFill>
              <w14:schemeClr w14:val="tx1"/>
            </w14:solidFill>
          </w14:textFill>
        </w:rPr>
        <w:t xml:space="preserve">日-2021年 </w:t>
      </w:r>
      <w:r>
        <w:rPr>
          <w:rFonts w:hint="eastAsia"/>
          <w:color w:val="000000" w:themeColor="text1"/>
          <w:sz w:val="28"/>
          <w:szCs w:val="28"/>
          <w:highlight w:val="none"/>
          <w:lang w:val="en-US" w:eastAsia="zh-CN"/>
          <w14:textFill>
            <w14:solidFill>
              <w14:schemeClr w14:val="tx1"/>
            </w14:solidFill>
          </w14:textFill>
        </w:rPr>
        <w:t>9</w:t>
      </w:r>
      <w:r>
        <w:rPr>
          <w:rFonts w:hint="eastAsia"/>
          <w:color w:val="000000" w:themeColor="text1"/>
          <w:sz w:val="28"/>
          <w:szCs w:val="28"/>
          <w:highlight w:val="none"/>
          <w14:textFill>
            <w14:solidFill>
              <w14:schemeClr w14:val="tx1"/>
            </w14:solidFill>
          </w14:textFill>
        </w:rPr>
        <w:t>月2</w:t>
      </w:r>
      <w:r>
        <w:rPr>
          <w:rFonts w:hint="eastAsia"/>
          <w:color w:val="000000" w:themeColor="text1"/>
          <w:sz w:val="28"/>
          <w:szCs w:val="28"/>
          <w:highlight w:val="none"/>
          <w:lang w:val="en-US" w:eastAsia="zh-CN"/>
          <w14:textFill>
            <w14:solidFill>
              <w14:schemeClr w14:val="tx1"/>
            </w14:solidFill>
          </w14:textFill>
        </w:rPr>
        <w:t>9</w:t>
      </w:r>
      <w:r>
        <w:rPr>
          <w:rFonts w:hint="eastAsia"/>
          <w:color w:val="000000" w:themeColor="text1"/>
          <w:sz w:val="28"/>
          <w:szCs w:val="28"/>
          <w:highlight w:val="none"/>
          <w14:textFill>
            <w14:solidFill>
              <w14:schemeClr w14:val="tx1"/>
            </w14:solidFill>
          </w14:textFill>
        </w:rPr>
        <w:t>日。</w:t>
      </w:r>
    </w:p>
    <w:p>
      <w:pPr>
        <w:ind w:firstLine="420"/>
        <w:textAlignment w:val="baseline"/>
        <w:rPr>
          <w:color w:val="auto"/>
          <w:sz w:val="28"/>
          <w:szCs w:val="28"/>
        </w:rPr>
      </w:pPr>
      <w:r>
        <w:rPr>
          <w:rFonts w:hint="eastAsia"/>
          <w:color w:val="auto"/>
          <w:sz w:val="28"/>
          <w:szCs w:val="28"/>
        </w:rPr>
        <w:t>听证权利告知：依据《中华人民共和国行政许可法》，自公示起五日内申请人、利害关系人可提出听证申请。</w:t>
      </w:r>
    </w:p>
    <w:p>
      <w:pPr>
        <w:ind w:firstLine="420"/>
        <w:textAlignment w:val="baseline"/>
        <w:rPr>
          <w:color w:val="auto"/>
          <w:sz w:val="28"/>
          <w:szCs w:val="28"/>
        </w:rPr>
      </w:pPr>
      <w:r>
        <w:rPr>
          <w:rFonts w:hint="eastAsia"/>
          <w:color w:val="auto"/>
          <w:sz w:val="28"/>
          <w:szCs w:val="28"/>
        </w:rPr>
        <w:t>联系方式：电话：2178768，传真：2178768，通讯地址：罗山县行政大道28号</w:t>
      </w:r>
    </w:p>
    <w:p>
      <w:pPr>
        <w:ind w:firstLine="420"/>
        <w:jc w:val="center"/>
        <w:textAlignment w:val="baseline"/>
        <w:rPr>
          <w:color w:val="auto"/>
          <w:sz w:val="36"/>
          <w:szCs w:val="36"/>
        </w:rPr>
      </w:pPr>
    </w:p>
    <w:p>
      <w:pPr>
        <w:ind w:firstLine="420"/>
        <w:jc w:val="center"/>
        <w:textAlignment w:val="baseline"/>
        <w:rPr>
          <w:color w:val="auto"/>
          <w:sz w:val="36"/>
          <w:szCs w:val="36"/>
        </w:rPr>
      </w:pPr>
      <w:r>
        <w:rPr>
          <w:rFonts w:hint="eastAsia"/>
          <w:color w:val="auto"/>
          <w:sz w:val="36"/>
          <w:szCs w:val="36"/>
        </w:rPr>
        <w:t>拟审批的建设项目环境影响报告书（表）</w:t>
      </w:r>
    </w:p>
    <w:tbl>
      <w:tblPr>
        <w:tblStyle w:val="8"/>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439"/>
        <w:gridCol w:w="401"/>
        <w:gridCol w:w="451"/>
        <w:gridCol w:w="488"/>
        <w:gridCol w:w="1978"/>
        <w:gridCol w:w="4568"/>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462" w:type="dxa"/>
            <w:vAlign w:val="center"/>
          </w:tcPr>
          <w:p>
            <w:pPr>
              <w:jc w:val="center"/>
              <w:textAlignment w:val="baseline"/>
              <w:rPr>
                <w:color w:val="auto"/>
                <w:sz w:val="20"/>
                <w:szCs w:val="21"/>
              </w:rPr>
            </w:pPr>
            <w:r>
              <w:rPr>
                <w:rFonts w:hint="eastAsia"/>
                <w:color w:val="auto"/>
                <w:szCs w:val="21"/>
              </w:rPr>
              <w:t>序号</w:t>
            </w:r>
          </w:p>
        </w:tc>
        <w:tc>
          <w:tcPr>
            <w:tcW w:w="439" w:type="dxa"/>
            <w:vAlign w:val="center"/>
          </w:tcPr>
          <w:p>
            <w:pPr>
              <w:jc w:val="center"/>
              <w:textAlignment w:val="baseline"/>
              <w:rPr>
                <w:color w:val="auto"/>
                <w:sz w:val="20"/>
                <w:szCs w:val="21"/>
              </w:rPr>
            </w:pPr>
            <w:r>
              <w:rPr>
                <w:rFonts w:hint="eastAsia"/>
                <w:color w:val="auto"/>
                <w:szCs w:val="21"/>
              </w:rPr>
              <w:t>项目名称</w:t>
            </w:r>
          </w:p>
        </w:tc>
        <w:tc>
          <w:tcPr>
            <w:tcW w:w="401" w:type="dxa"/>
            <w:vAlign w:val="center"/>
          </w:tcPr>
          <w:p>
            <w:pPr>
              <w:jc w:val="center"/>
              <w:textAlignment w:val="baseline"/>
              <w:rPr>
                <w:color w:val="auto"/>
                <w:sz w:val="20"/>
                <w:szCs w:val="21"/>
              </w:rPr>
            </w:pPr>
            <w:r>
              <w:rPr>
                <w:rFonts w:hint="eastAsia"/>
                <w:color w:val="auto"/>
                <w:szCs w:val="21"/>
              </w:rPr>
              <w:t>建设地点</w:t>
            </w:r>
          </w:p>
        </w:tc>
        <w:tc>
          <w:tcPr>
            <w:tcW w:w="451" w:type="dxa"/>
            <w:vAlign w:val="center"/>
          </w:tcPr>
          <w:p>
            <w:pPr>
              <w:jc w:val="center"/>
              <w:textAlignment w:val="baseline"/>
              <w:rPr>
                <w:color w:val="auto"/>
                <w:sz w:val="20"/>
                <w:szCs w:val="21"/>
              </w:rPr>
            </w:pPr>
            <w:r>
              <w:rPr>
                <w:rFonts w:hint="eastAsia"/>
                <w:color w:val="auto"/>
                <w:szCs w:val="21"/>
              </w:rPr>
              <w:t>建设单位</w:t>
            </w:r>
          </w:p>
        </w:tc>
        <w:tc>
          <w:tcPr>
            <w:tcW w:w="488" w:type="dxa"/>
            <w:vAlign w:val="center"/>
          </w:tcPr>
          <w:p>
            <w:pPr>
              <w:jc w:val="center"/>
              <w:textAlignment w:val="baseline"/>
              <w:rPr>
                <w:color w:val="auto"/>
                <w:sz w:val="20"/>
                <w:szCs w:val="21"/>
              </w:rPr>
            </w:pPr>
            <w:r>
              <w:rPr>
                <w:rFonts w:hint="eastAsia"/>
                <w:color w:val="auto"/>
                <w:szCs w:val="21"/>
              </w:rPr>
              <w:t>环境影响评价机构</w:t>
            </w:r>
          </w:p>
        </w:tc>
        <w:tc>
          <w:tcPr>
            <w:tcW w:w="1978" w:type="dxa"/>
            <w:vAlign w:val="center"/>
          </w:tcPr>
          <w:p>
            <w:pPr>
              <w:jc w:val="center"/>
              <w:textAlignment w:val="baseline"/>
              <w:rPr>
                <w:color w:val="auto"/>
                <w:sz w:val="20"/>
                <w:szCs w:val="21"/>
              </w:rPr>
            </w:pPr>
            <w:r>
              <w:rPr>
                <w:rFonts w:hint="eastAsia"/>
                <w:color w:val="auto"/>
                <w:szCs w:val="21"/>
              </w:rPr>
              <w:t>建设项目概况</w:t>
            </w:r>
          </w:p>
        </w:tc>
        <w:tc>
          <w:tcPr>
            <w:tcW w:w="4568" w:type="dxa"/>
            <w:vAlign w:val="center"/>
          </w:tcPr>
          <w:p>
            <w:pPr>
              <w:jc w:val="center"/>
              <w:textAlignment w:val="baseline"/>
              <w:rPr>
                <w:color w:val="auto"/>
                <w:sz w:val="20"/>
                <w:szCs w:val="21"/>
              </w:rPr>
            </w:pPr>
            <w:r>
              <w:rPr>
                <w:rFonts w:hint="eastAsia"/>
                <w:color w:val="auto"/>
                <w:szCs w:val="21"/>
              </w:rPr>
              <w:t>主要环境影响及预防或减轻不良环境影响的对象和措施</w:t>
            </w:r>
          </w:p>
        </w:tc>
        <w:tc>
          <w:tcPr>
            <w:tcW w:w="1053" w:type="dxa"/>
            <w:vAlign w:val="center"/>
          </w:tcPr>
          <w:p>
            <w:pPr>
              <w:jc w:val="center"/>
              <w:textAlignment w:val="baseline"/>
              <w:rPr>
                <w:color w:val="auto"/>
                <w:sz w:val="20"/>
                <w:szCs w:val="21"/>
              </w:rPr>
            </w:pPr>
            <w:r>
              <w:rPr>
                <w:rFonts w:hint="eastAsia"/>
                <w:color w:val="auto"/>
                <w:szCs w:val="21"/>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atLeast"/>
        </w:trPr>
        <w:tc>
          <w:tcPr>
            <w:tcW w:w="462" w:type="dxa"/>
          </w:tcPr>
          <w:p>
            <w:pPr>
              <w:textAlignment w:val="baseline"/>
              <w:rPr>
                <w:color w:val="FF0000"/>
                <w:sz w:val="20"/>
                <w:szCs w:val="21"/>
              </w:rPr>
            </w:pPr>
            <w:r>
              <w:rPr>
                <w:rFonts w:hint="eastAsia"/>
                <w:color w:val="auto"/>
                <w:szCs w:val="21"/>
              </w:rPr>
              <w:t>1</w:t>
            </w:r>
          </w:p>
        </w:tc>
        <w:tc>
          <w:tcPr>
            <w:tcW w:w="439" w:type="dxa"/>
          </w:tcPr>
          <w:p>
            <w:pPr>
              <w:textAlignment w:val="baseline"/>
              <w:rPr>
                <w:color w:val="FF0000"/>
                <w:sz w:val="20"/>
                <w:szCs w:val="21"/>
              </w:rPr>
            </w:pPr>
            <w:r>
              <w:rPr>
                <w:rFonts w:ascii="Times New Roman" w:hAnsi="Times New Roman"/>
              </w:rPr>
              <w:t>罗山县引九济石工程</w:t>
            </w:r>
          </w:p>
        </w:tc>
        <w:tc>
          <w:tcPr>
            <w:tcW w:w="401" w:type="dxa"/>
          </w:tcPr>
          <w:p>
            <w:pPr>
              <w:textAlignment w:val="baseline"/>
              <w:rPr>
                <w:color w:val="FF0000"/>
                <w:sz w:val="20"/>
                <w:szCs w:val="21"/>
              </w:rPr>
            </w:pPr>
            <w:r>
              <w:rPr>
                <w:rFonts w:hint="eastAsia" w:ascii="Times New Roman" w:hAnsi="Times New Roman"/>
                <w:lang w:eastAsia="zh-CN"/>
              </w:rPr>
              <w:t>信阳市</w:t>
            </w:r>
            <w:r>
              <w:rPr>
                <w:rFonts w:ascii="Times New Roman" w:hAnsi="Times New Roman"/>
              </w:rPr>
              <w:t>罗山县彭新镇</w:t>
            </w:r>
          </w:p>
        </w:tc>
        <w:tc>
          <w:tcPr>
            <w:tcW w:w="451" w:type="dxa"/>
          </w:tcPr>
          <w:p>
            <w:pPr>
              <w:textAlignment w:val="baseline"/>
              <w:rPr>
                <w:color w:val="FF0000"/>
                <w:sz w:val="20"/>
                <w:szCs w:val="21"/>
              </w:rPr>
            </w:pPr>
            <w:r>
              <w:rPr>
                <w:rFonts w:ascii="Times New Roman" w:hAnsi="Times New Roman"/>
              </w:rPr>
              <w:t>罗山县石山口水库灌区管理局</w:t>
            </w:r>
          </w:p>
        </w:tc>
        <w:tc>
          <w:tcPr>
            <w:tcW w:w="488" w:type="dxa"/>
          </w:tcPr>
          <w:p>
            <w:pPr>
              <w:textAlignment w:val="baseline"/>
              <w:rPr>
                <w:color w:val="FF0000"/>
                <w:sz w:val="20"/>
                <w:szCs w:val="21"/>
              </w:rPr>
            </w:pPr>
            <w:r>
              <w:rPr>
                <w:rFonts w:hint="eastAsia"/>
                <w:color w:val="auto"/>
                <w:szCs w:val="21"/>
              </w:rPr>
              <w:t>河南</w:t>
            </w:r>
            <w:r>
              <w:rPr>
                <w:rFonts w:hint="eastAsia"/>
                <w:color w:val="auto"/>
                <w:szCs w:val="21"/>
                <w:lang w:eastAsia="zh-CN"/>
              </w:rPr>
              <w:t>可人科技</w:t>
            </w:r>
            <w:r>
              <w:rPr>
                <w:rFonts w:hint="eastAsia"/>
                <w:color w:val="auto"/>
                <w:szCs w:val="21"/>
              </w:rPr>
              <w:t>有限公司</w:t>
            </w:r>
          </w:p>
        </w:tc>
        <w:tc>
          <w:tcPr>
            <w:tcW w:w="1978" w:type="dxa"/>
          </w:tcPr>
          <w:p>
            <w:pPr>
              <w:rPr>
                <w:rFonts w:hint="eastAsia" w:ascii="Times New Roman" w:hAnsi="Times New Roman" w:eastAsiaTheme="minorEastAsia"/>
                <w:lang w:eastAsia="zh-CN"/>
              </w:rPr>
            </w:pPr>
            <w:r>
              <w:rPr>
                <w:rFonts w:hint="eastAsia" w:ascii="Times New Roman" w:hAnsi="Times New Roman"/>
                <w:lang w:eastAsia="zh-CN"/>
              </w:rPr>
              <w:t>项目</w:t>
            </w:r>
            <w:r>
              <w:rPr>
                <w:rFonts w:ascii="Times New Roman" w:hAnsi="Times New Roman"/>
              </w:rPr>
              <w:t>位于罗山县彭新镇，工程坝址位于彭新镇上游约500m处的黑河湾村附近</w:t>
            </w:r>
            <w:r>
              <w:rPr>
                <w:rFonts w:hint="eastAsia" w:ascii="Times New Roman" w:hAnsi="Times New Roman"/>
                <w:lang w:eastAsia="zh-CN"/>
              </w:rPr>
              <w:t>，</w:t>
            </w:r>
            <w:r>
              <w:rPr>
                <w:rFonts w:ascii="Times New Roman" w:hAnsi="Times New Roman"/>
              </w:rPr>
              <w:t>工程总投资42796.68万元</w:t>
            </w:r>
            <w:r>
              <w:rPr>
                <w:rFonts w:hint="eastAsia" w:ascii="Times New Roman" w:hAnsi="Times New Roman"/>
                <w:lang w:eastAsia="zh-CN"/>
              </w:rPr>
              <w:t>，</w:t>
            </w:r>
            <w:r>
              <w:rPr>
                <w:rFonts w:ascii="Times New Roman" w:hAnsi="Times New Roman"/>
              </w:rPr>
              <w:t>新建拦蓄工程和输水线路工程。其中拦蓄工程由泄洪闸和土坝组成，输水工程由进口闸、隧洞和涵洞、出口闸三部分组成，输水路线总长7.167公里，输水方式为重力自流。拦蓄工程规划设计正常蓄水位81.20米，50年一遇设计洪水位为82.59米，100年一遇校核洪水位83.16米。</w:t>
            </w:r>
          </w:p>
          <w:p>
            <w:pPr>
              <w:textAlignment w:val="baseline"/>
              <w:rPr>
                <w:bCs/>
                <w:color w:val="FF0000"/>
                <w:sz w:val="20"/>
                <w:szCs w:val="21"/>
              </w:rPr>
            </w:pPr>
          </w:p>
        </w:tc>
        <w:tc>
          <w:tcPr>
            <w:tcW w:w="4568" w:type="dxa"/>
          </w:tcPr>
          <w:p>
            <w:pPr>
              <w:textAlignment w:val="baseline"/>
              <w:rPr>
                <w:b/>
                <w:bCs/>
              </w:rPr>
            </w:pPr>
            <w:r>
              <w:rPr>
                <w:rFonts w:hint="eastAsia"/>
                <w:b/>
                <w:bCs/>
              </w:rPr>
              <w:t>施工期：</w:t>
            </w:r>
          </w:p>
          <w:p>
            <w:pPr>
              <w:textAlignment w:val="baseline"/>
              <w:rPr>
                <w:rFonts w:hint="eastAsia"/>
                <w:lang w:eastAsia="zh-CN"/>
              </w:rPr>
            </w:pPr>
            <w:r>
              <w:rPr>
                <w:rFonts w:hint="eastAsia"/>
                <w:lang w:eastAsia="zh-CN"/>
              </w:rPr>
              <w:t>废水：</w:t>
            </w:r>
            <w:r>
              <w:t>基坑排水静置沉淀12h达标后抽至下游水体；机械修配系统废水经采用沉沙滤油池处理后，循环利用于车辆冲洗用水；隧洞涌水与隧洞施工废水经沉淀处理后综合利用；生活污水经收集后进入化粪池处理装置处理后用于洒水抑尘。</w:t>
            </w:r>
          </w:p>
          <w:p>
            <w:pPr>
              <w:textAlignment w:val="baseline"/>
              <w:rPr>
                <w:rFonts w:hint="eastAsia"/>
                <w:lang w:eastAsia="zh-CN"/>
              </w:rPr>
            </w:pPr>
            <w:r>
              <w:rPr>
                <w:rFonts w:hint="eastAsia"/>
                <w:lang w:eastAsia="zh-CN"/>
              </w:rPr>
              <w:t>废气：</w:t>
            </w:r>
            <w:r>
              <w:t>采用先进、低尘施工工艺；避免大风、雨雪天气进行土方开挖；运输应采取覆盖措施，运送粉状细颗粒材料的储罐应保持良好密封状态；对经过的环境敏感地段经常进行洒水，并减速慢行；加强大型施工机械和车辆管理，机械设备配备相应的消烟除尘设备</w:t>
            </w:r>
            <w:r>
              <w:rPr>
                <w:rFonts w:hint="eastAsia"/>
              </w:rPr>
              <w:t>，</w:t>
            </w:r>
            <w:r>
              <w:t>减少大气污染物对</w:t>
            </w:r>
            <w:r>
              <w:rPr>
                <w:rFonts w:hint="eastAsia"/>
              </w:rPr>
              <w:t>环境</w:t>
            </w:r>
            <w:r>
              <w:t>的影响和危害。</w:t>
            </w:r>
          </w:p>
          <w:p>
            <w:pPr>
              <w:textAlignment w:val="baseline"/>
              <w:rPr>
                <w:rFonts w:hint="eastAsia"/>
                <w:lang w:eastAsia="zh-CN"/>
              </w:rPr>
            </w:pPr>
            <w:r>
              <w:rPr>
                <w:rFonts w:hint="eastAsia"/>
                <w:lang w:eastAsia="zh-CN"/>
              </w:rPr>
              <w:t>噪声：</w:t>
            </w:r>
            <w:r>
              <w:t>选用符合国家有关噪声标准的施工机械和运输车辆，并加强施工机械和运输车辆的维修和保护，合理安排施工工序和机械使用，禁止施工车辆夜间鸣笛，限制工区内车辆时速</w:t>
            </w:r>
            <w:r>
              <w:rPr>
                <w:rFonts w:hint="eastAsia"/>
              </w:rPr>
              <w:t>，</w:t>
            </w:r>
            <w:r>
              <w:t>选用先进的爆破工艺</w:t>
            </w:r>
            <w:r>
              <w:rPr>
                <w:rFonts w:hint="eastAsia"/>
              </w:rPr>
              <w:t>，</w:t>
            </w:r>
            <w:r>
              <w:t>对于施工造成首排房屋噪声超标，评价建议采用移动式声屏障。</w:t>
            </w:r>
          </w:p>
          <w:p>
            <w:pPr>
              <w:rPr>
                <w:rFonts w:hint="eastAsia"/>
                <w:lang w:eastAsia="zh-CN"/>
              </w:rPr>
            </w:pPr>
            <w:r>
              <w:rPr>
                <w:rFonts w:hint="eastAsia"/>
                <w:lang w:eastAsia="zh-CN"/>
              </w:rPr>
              <w:t>固体废物：</w:t>
            </w:r>
            <w:r>
              <w:t>工程弃土运往指定弃渣场进行处置；生活垃圾集中收集后统一委托当地环卫部门运往沿线的垃圾填埋场妥善处理，工程产生的生活垃圾对环境影响很小；施工废料部分可回收利用，剩余废料运至当地工业固废处置场；少量废机油交由具有危险废物经营许可证的单位安全处置。</w:t>
            </w:r>
          </w:p>
          <w:p>
            <w:pPr>
              <w:textAlignment w:val="baseline"/>
              <w:rPr>
                <w:rFonts w:hint="default"/>
                <w:lang w:val="en-US" w:eastAsia="zh-CN"/>
              </w:rPr>
            </w:pPr>
            <w:r>
              <w:rPr>
                <w:rFonts w:hint="eastAsia"/>
                <w:lang w:eastAsia="zh-CN"/>
              </w:rPr>
              <w:t>生态影响：（</w:t>
            </w:r>
            <w:r>
              <w:rPr>
                <w:rFonts w:hint="eastAsia"/>
                <w:lang w:val="en-US" w:eastAsia="zh-CN"/>
              </w:rPr>
              <w:t>1）陆生生态：</w:t>
            </w:r>
            <w:r>
              <w:t>在工程施工周边区域增加宣传牌，强调对生态敏感区野生动植物保护的重要性。在工程施工当中，应加强管理，限定施工区域，不准擅自扩大临时施工场地， 避免人为对地表植被的破坏；施工期间，在施工人员活动较集中的施工营地、交通干道入口处等区域分别设置生态警示牌。优化施工工艺，合理安排施工工期，缩短施工时间。</w:t>
            </w:r>
            <w:r>
              <w:rPr>
                <w:rFonts w:hint="eastAsia"/>
                <w:lang w:eastAsia="zh-CN"/>
              </w:rPr>
              <w:t>（</w:t>
            </w:r>
            <w:r>
              <w:rPr>
                <w:rFonts w:hint="eastAsia"/>
                <w:lang w:val="en-US" w:eastAsia="zh-CN"/>
              </w:rPr>
              <w:t>2）水生生态：</w:t>
            </w:r>
            <w:r>
              <w:t>加大对施工人员的宣传与教育，增强和提高其生态环境保护意识。优化工程引水调度保护策略，尽可能保证影响区域内鱼类产卵场等重要生境环境稳定；合理安排施工前期规划工作，加强施工人员的卫生管理（如粪便和生活污水），合理安排施工时序等。</w:t>
            </w:r>
          </w:p>
          <w:p>
            <w:pPr>
              <w:textAlignment w:val="baseline"/>
              <w:rPr>
                <w:b/>
                <w:bCs/>
              </w:rPr>
            </w:pPr>
            <w:r>
              <w:rPr>
                <w:rFonts w:hint="eastAsia"/>
                <w:b/>
                <w:bCs/>
              </w:rPr>
              <w:t>营运期：</w:t>
            </w:r>
          </w:p>
          <w:p>
            <w:pPr>
              <w:textAlignment w:val="baseline"/>
            </w:pPr>
            <w:r>
              <w:rPr>
                <w:rFonts w:hint="eastAsia"/>
              </w:rPr>
              <w:t>废</w:t>
            </w:r>
            <w:r>
              <w:rPr>
                <w:rFonts w:hint="eastAsia"/>
                <w:lang w:eastAsia="zh-CN"/>
              </w:rPr>
              <w:t>水</w:t>
            </w:r>
            <w:r>
              <w:rPr>
                <w:rFonts w:hint="eastAsia"/>
              </w:rPr>
              <w:t>：</w:t>
            </w:r>
            <w:r>
              <w:t>运营期建议通过制定区域水污染防治规划、提高受水区及其上游工业污染防治水平、对受水区城镇污水处理厂进行提标改造、有效控制面源污染、加强输水河、渠水质监测工作等，全面提高工程输水水质的保障性</w:t>
            </w:r>
            <w:r>
              <w:rPr>
                <w:rFonts w:hint="eastAsia"/>
              </w:rPr>
              <w:t>；</w:t>
            </w:r>
            <w:r>
              <w:t>管理站生活废水，收集后经一体化污水处理设施处理后用于绿化。</w:t>
            </w:r>
          </w:p>
          <w:p>
            <w:pPr>
              <w:pStyle w:val="2"/>
              <w:ind w:left="0" w:leftChars="0" w:firstLine="0" w:firstLineChars="0"/>
              <w:rPr>
                <w:rFonts w:hint="eastAsia" w:eastAsiaTheme="minorEastAsia"/>
                <w:lang w:val="en-US" w:eastAsia="zh-CN"/>
              </w:rPr>
            </w:pPr>
            <w:r>
              <w:rPr>
                <w:rFonts w:hint="eastAsia"/>
                <w:lang w:val="en-US" w:eastAsia="zh-CN"/>
              </w:rPr>
              <w:t>营运期不产生废气、噪声和固废。</w:t>
            </w:r>
          </w:p>
        </w:tc>
        <w:tc>
          <w:tcPr>
            <w:tcW w:w="1053" w:type="dxa"/>
          </w:tcPr>
          <w:p>
            <w:pPr>
              <w:jc w:val="center"/>
              <w:textAlignment w:val="baseline"/>
              <w:rPr>
                <w:rFonts w:hint="eastAsia" w:eastAsiaTheme="minorEastAsia"/>
                <w:color w:val="FF0000"/>
                <w:sz w:val="20"/>
                <w:szCs w:val="21"/>
                <w:lang w:val="en-US" w:eastAsia="zh-CN"/>
              </w:rPr>
            </w:pPr>
            <w:r>
              <w:rPr>
                <w:rFonts w:ascii="Times New Roman" w:hAnsi="Times New Roman" w:cs="Times New Roman"/>
              </w:rPr>
              <w:t>调查方式采用网上公示、报纸公示、张贴公告等方式，调查对象为项目周边可能受项目影响的公众。调查结果：公示期间，建设单位未接收到反对意见</w:t>
            </w:r>
            <w:r>
              <w:rPr>
                <w:rFonts w:hint="eastAsia" w:ascii="Times New Roman" w:hAnsi="Times New Roman" w:cs="Times New Roman"/>
                <w:lang w:eastAsia="zh-CN"/>
              </w:rPr>
              <w:t>。</w:t>
            </w:r>
          </w:p>
        </w:tc>
      </w:tr>
    </w:tbl>
    <w:p>
      <w:pPr>
        <w:textAlignment w:val="baseline"/>
        <w:rPr>
          <w:color w:val="FF0000"/>
          <w:sz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A27C1"/>
    <w:rsid w:val="000A0D11"/>
    <w:rsid w:val="00114AC8"/>
    <w:rsid w:val="001177A7"/>
    <w:rsid w:val="0012554F"/>
    <w:rsid w:val="00175AFC"/>
    <w:rsid w:val="001A139D"/>
    <w:rsid w:val="001D4412"/>
    <w:rsid w:val="001D6558"/>
    <w:rsid w:val="001F3451"/>
    <w:rsid w:val="003B5FF4"/>
    <w:rsid w:val="003F3543"/>
    <w:rsid w:val="00400D41"/>
    <w:rsid w:val="00431E60"/>
    <w:rsid w:val="004A5E0F"/>
    <w:rsid w:val="004C4B5A"/>
    <w:rsid w:val="00564D06"/>
    <w:rsid w:val="005B424B"/>
    <w:rsid w:val="00653CE6"/>
    <w:rsid w:val="006935A4"/>
    <w:rsid w:val="00713DAA"/>
    <w:rsid w:val="00716560"/>
    <w:rsid w:val="00761FFE"/>
    <w:rsid w:val="007C46FF"/>
    <w:rsid w:val="0081795A"/>
    <w:rsid w:val="00835A80"/>
    <w:rsid w:val="00862707"/>
    <w:rsid w:val="008672F9"/>
    <w:rsid w:val="00930AC7"/>
    <w:rsid w:val="00983429"/>
    <w:rsid w:val="009D7E6E"/>
    <w:rsid w:val="00A817D6"/>
    <w:rsid w:val="00AB6561"/>
    <w:rsid w:val="00B050D5"/>
    <w:rsid w:val="00C7213B"/>
    <w:rsid w:val="00CC71E2"/>
    <w:rsid w:val="00CF796C"/>
    <w:rsid w:val="00D3685E"/>
    <w:rsid w:val="00D56FC5"/>
    <w:rsid w:val="00E66C75"/>
    <w:rsid w:val="00EB180A"/>
    <w:rsid w:val="00EB375D"/>
    <w:rsid w:val="00EC4DFA"/>
    <w:rsid w:val="00EF03B6"/>
    <w:rsid w:val="00F35965"/>
    <w:rsid w:val="00F372B7"/>
    <w:rsid w:val="00F7717A"/>
    <w:rsid w:val="00FE2086"/>
    <w:rsid w:val="00FF041B"/>
    <w:rsid w:val="043A27C1"/>
    <w:rsid w:val="0A9904B9"/>
    <w:rsid w:val="37514B13"/>
    <w:rsid w:val="46774489"/>
    <w:rsid w:val="4689132D"/>
    <w:rsid w:val="54CB45B1"/>
    <w:rsid w:val="55985A6C"/>
    <w:rsid w:val="57365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Cs w:val="20"/>
    </w:rPr>
  </w:style>
  <w:style w:type="paragraph" w:styleId="3">
    <w:name w:val="Body Text"/>
    <w:basedOn w:val="1"/>
    <w:next w:val="4"/>
    <w:qFormat/>
    <w:uiPriority w:val="1"/>
    <w:pPr>
      <w:autoSpaceDE w:val="0"/>
      <w:autoSpaceDN w:val="0"/>
      <w:spacing w:line="240" w:lineRule="auto"/>
      <w:ind w:firstLine="0" w:firstLineChars="0"/>
      <w:jc w:val="left"/>
    </w:pPr>
    <w:rPr>
      <w:rFonts w:ascii="宋体" w:hAnsi="宋体" w:cs="宋体"/>
      <w:kern w:val="0"/>
      <w:lang w:val="zh-CN" w:bidi="zh-CN"/>
    </w:rPr>
  </w:style>
  <w:style w:type="paragraph" w:customStyle="1" w:styleId="4">
    <w:name w:val="xl27"/>
    <w:basedOn w:val="1"/>
    <w:qFormat/>
    <w:uiPriority w:val="0"/>
    <w:pPr>
      <w:widowControl/>
      <w:pBdr>
        <w:bottom w:val="double" w:color="auto" w:sz="6" w:space="0"/>
        <w:right w:val="single" w:color="auto" w:sz="4" w:space="0"/>
      </w:pBdr>
      <w:spacing w:before="100" w:beforeAutospacing="1" w:after="100" w:afterAutospacing="1" w:line="259" w:lineRule="auto"/>
      <w:jc w:val="left"/>
    </w:pPr>
    <w:rPr>
      <w:rFonts w:ascii="Arial Unicode MS" w:hAnsi="Arial Unicode MS" w:eastAsia="Arial Unicode MS" w:cs="Arial Unicode MS"/>
      <w:kern w:val="0"/>
      <w:sz w:val="20"/>
      <w:szCs w:val="20"/>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0"/>
    <w:rPr>
      <w:rFonts w:asciiTheme="minorHAnsi" w:hAnsiTheme="minorHAnsi" w:eastAsiaTheme="minorEastAsia" w:cstheme="minorBidi"/>
      <w:kern w:val="2"/>
      <w:sz w:val="18"/>
      <w:szCs w:val="18"/>
    </w:rPr>
  </w:style>
  <w:style w:type="character" w:customStyle="1" w:styleId="11">
    <w:name w:val="页脚 Char"/>
    <w:basedOn w:val="9"/>
    <w:link w:val="5"/>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rPr>
      <w:rFonts w:ascii="Times New Roman" w:hAnsi="Times New Roman" w:eastAsia="宋体" w:cs="Times New Roman"/>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203</Words>
  <Characters>1162</Characters>
  <Lines>9</Lines>
  <Paragraphs>2</Paragraphs>
  <TotalTime>4</TotalTime>
  <ScaleCrop>false</ScaleCrop>
  <LinksUpToDate>false</LinksUpToDate>
  <CharactersWithSpaces>1363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2019-09-26T07:20:00Z</dcterms:created>
  <dc:creator>zz</dc:creator>
  <cp:lastModifiedBy>未定义</cp:lastModifiedBy>
  <dcterms:modified xsi:type="dcterms:W3CDTF">2021-09-22T10:10:10Z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719C613D2A7E4F8A8864983A9A0AC258</vt:lpwstr>
  </property>
</Properties>
</file>