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罗山县人社局2018年度决算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目　　录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第一部分、罗山县人力资源和社会保障局概况</w:t>
      </w:r>
    </w:p>
    <w:p>
      <w:pPr>
        <w:ind w:firstLine="320" w:firstLineChars="1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一、主要职能</w:t>
      </w:r>
    </w:p>
    <w:p>
      <w:pPr>
        <w:ind w:firstLine="320" w:firstLineChars="1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二、部门决算单位构成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第二部分、罗山县人力资源和社会保障局2018年度部门决算情况说明</w:t>
      </w:r>
    </w:p>
    <w:p>
      <w:pPr>
        <w:ind w:firstLine="320" w:firstLineChars="100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一、收入支出决算总体情况说明</w:t>
      </w:r>
    </w:p>
    <w:p>
      <w:pPr>
        <w:ind w:firstLine="320" w:firstLineChars="100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二、收入决算情况说明</w:t>
      </w:r>
    </w:p>
    <w:p>
      <w:pPr>
        <w:ind w:firstLine="320" w:firstLineChars="100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三、支出决算情况说明</w:t>
      </w:r>
    </w:p>
    <w:p>
      <w:pPr>
        <w:ind w:firstLine="320" w:firstLineChars="100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四、财政拨款收入支出决算总体情况说明</w:t>
      </w:r>
    </w:p>
    <w:p>
      <w:pPr>
        <w:ind w:firstLine="320" w:firstLineChars="100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五、一般公共预算财政拨款支出决算情况说明</w:t>
      </w:r>
    </w:p>
    <w:p>
      <w:pPr>
        <w:ind w:firstLine="320" w:firstLineChars="100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六、一般公共预算财政拨款基本支出决算情况说明</w:t>
      </w:r>
    </w:p>
    <w:p>
      <w:pPr>
        <w:ind w:firstLine="320" w:firstLineChars="100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七、一般公共预算财政拨款“三公”经费支出决算情况说明</w:t>
      </w:r>
    </w:p>
    <w:p>
      <w:pPr>
        <w:ind w:firstLine="320" w:firstLineChars="100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八、预算绩效情况说明</w:t>
      </w:r>
    </w:p>
    <w:p>
      <w:pPr>
        <w:ind w:firstLine="320" w:firstLineChars="100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九、政府性基金预算财政拨款支出决算情况说明</w:t>
      </w:r>
    </w:p>
    <w:p>
      <w:pPr>
        <w:ind w:firstLine="320" w:firstLineChars="100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十、机关运行经费支出情况说明</w:t>
      </w:r>
    </w:p>
    <w:p>
      <w:pPr>
        <w:ind w:firstLine="320" w:firstLineChars="100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十一、政府采购支出情况说明</w:t>
      </w:r>
    </w:p>
    <w:p>
      <w:pPr>
        <w:ind w:firstLine="320" w:firstLineChars="1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十二、国有资产占用情况说明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第三部分、名词解释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附件：罗山县人力资源和社会保障局2018年度部门决算表</w:t>
      </w:r>
    </w:p>
    <w:p>
      <w:pPr>
        <w:ind w:firstLine="320" w:firstLineChars="1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一、收入支出决算总表</w:t>
      </w:r>
    </w:p>
    <w:p>
      <w:pPr>
        <w:ind w:firstLine="320" w:firstLineChars="1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二、收入决算表</w:t>
      </w:r>
    </w:p>
    <w:p>
      <w:pPr>
        <w:ind w:firstLine="320" w:firstLineChars="1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三、支出决算表</w:t>
      </w:r>
    </w:p>
    <w:p>
      <w:pPr>
        <w:ind w:firstLine="320" w:firstLineChars="1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四、财政拨款收入支出决算总表</w:t>
      </w:r>
    </w:p>
    <w:p>
      <w:pPr>
        <w:ind w:firstLine="320" w:firstLineChars="1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五、一般公共预算财政拨款支出决算表</w:t>
      </w:r>
    </w:p>
    <w:p>
      <w:pPr>
        <w:ind w:firstLine="320" w:firstLineChars="1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六、一般公共预算财政拨款基本支出决算表</w:t>
      </w:r>
    </w:p>
    <w:p>
      <w:pPr>
        <w:ind w:firstLine="320" w:firstLineChars="1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七、一般公共预算财政拨款“三公”经费支出决算表</w:t>
      </w:r>
    </w:p>
    <w:p>
      <w:pPr>
        <w:ind w:firstLine="320" w:firstLineChars="1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八、政府性基金预算财政拨款收入支出决算表</w:t>
      </w:r>
    </w:p>
    <w:p>
      <w:pPr>
        <w:spacing w:line="360" w:lineRule="auto"/>
        <w:rPr>
          <w:rFonts w:ascii="仿宋" w:hAnsi="仿宋" w:eastAsia="仿宋" w:cs="仿宋"/>
          <w:b/>
          <w:color w:val="333333"/>
          <w:kern w:val="0"/>
          <w:sz w:val="36"/>
          <w:szCs w:val="36"/>
        </w:rPr>
      </w:pPr>
    </w:p>
    <w:p>
      <w:pPr>
        <w:spacing w:line="360" w:lineRule="auto"/>
        <w:rPr>
          <w:rFonts w:ascii="仿宋" w:hAnsi="仿宋" w:eastAsia="仿宋" w:cs="仿宋"/>
          <w:b/>
          <w:color w:val="333333"/>
          <w:kern w:val="0"/>
          <w:sz w:val="36"/>
          <w:szCs w:val="36"/>
        </w:rPr>
      </w:pPr>
    </w:p>
    <w:p>
      <w:pPr>
        <w:spacing w:line="360" w:lineRule="auto"/>
        <w:rPr>
          <w:rFonts w:hint="eastAsia" w:ascii="仿宋" w:hAnsi="仿宋" w:eastAsia="仿宋" w:cs="仿宋"/>
          <w:b/>
          <w:color w:val="333333"/>
          <w:kern w:val="0"/>
          <w:sz w:val="36"/>
          <w:szCs w:val="36"/>
        </w:rPr>
      </w:pPr>
    </w:p>
    <w:p>
      <w:pPr>
        <w:spacing w:line="360" w:lineRule="auto"/>
        <w:rPr>
          <w:rFonts w:hint="eastAsia" w:ascii="仿宋" w:hAnsi="仿宋" w:eastAsia="仿宋" w:cs="仿宋"/>
          <w:b/>
          <w:color w:val="333333"/>
          <w:kern w:val="0"/>
          <w:sz w:val="36"/>
          <w:szCs w:val="36"/>
        </w:rPr>
      </w:pPr>
    </w:p>
    <w:p>
      <w:pPr>
        <w:spacing w:line="360" w:lineRule="auto"/>
        <w:rPr>
          <w:rFonts w:hint="eastAsia" w:ascii="仿宋" w:hAnsi="仿宋" w:eastAsia="仿宋" w:cs="仿宋"/>
          <w:b/>
          <w:color w:val="333333"/>
          <w:kern w:val="0"/>
          <w:sz w:val="36"/>
          <w:szCs w:val="36"/>
        </w:rPr>
      </w:pPr>
    </w:p>
    <w:p>
      <w:pPr>
        <w:spacing w:line="360" w:lineRule="auto"/>
        <w:rPr>
          <w:rFonts w:hint="eastAsia" w:ascii="仿宋" w:hAnsi="仿宋" w:eastAsia="仿宋" w:cs="仿宋"/>
          <w:b/>
          <w:color w:val="333333"/>
          <w:kern w:val="0"/>
          <w:sz w:val="36"/>
          <w:szCs w:val="36"/>
        </w:rPr>
      </w:pPr>
    </w:p>
    <w:p>
      <w:pPr>
        <w:spacing w:line="360" w:lineRule="auto"/>
        <w:rPr>
          <w:rFonts w:hint="eastAsia" w:ascii="仿宋" w:hAnsi="仿宋" w:eastAsia="仿宋" w:cs="仿宋"/>
          <w:b/>
          <w:color w:val="333333"/>
          <w:kern w:val="0"/>
          <w:sz w:val="36"/>
          <w:szCs w:val="36"/>
        </w:rPr>
      </w:pPr>
    </w:p>
    <w:p>
      <w:pPr>
        <w:spacing w:line="360" w:lineRule="auto"/>
        <w:rPr>
          <w:rFonts w:hint="eastAsia" w:ascii="仿宋" w:hAnsi="仿宋" w:eastAsia="仿宋" w:cs="仿宋"/>
          <w:b/>
          <w:color w:val="333333"/>
          <w:kern w:val="0"/>
          <w:sz w:val="36"/>
          <w:szCs w:val="36"/>
        </w:rPr>
      </w:pPr>
    </w:p>
    <w:p>
      <w:pPr>
        <w:spacing w:line="360" w:lineRule="auto"/>
        <w:rPr>
          <w:rFonts w:hint="eastAsia" w:ascii="仿宋" w:hAnsi="仿宋" w:eastAsia="仿宋" w:cs="仿宋"/>
          <w:b/>
          <w:color w:val="333333"/>
          <w:kern w:val="0"/>
          <w:sz w:val="36"/>
          <w:szCs w:val="36"/>
        </w:rPr>
      </w:pPr>
    </w:p>
    <w:p>
      <w:pPr>
        <w:spacing w:line="360" w:lineRule="auto"/>
        <w:rPr>
          <w:rFonts w:ascii="仿宋" w:hAnsi="仿宋" w:eastAsia="仿宋" w:cs="仿宋"/>
          <w:b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333333"/>
          <w:kern w:val="0"/>
          <w:sz w:val="36"/>
          <w:szCs w:val="36"/>
        </w:rPr>
        <w:t>第一部分、中共</w:t>
      </w:r>
      <w:r>
        <w:rPr>
          <w:rFonts w:hint="eastAsia" w:ascii="仿宋" w:hAnsi="仿宋" w:eastAsia="仿宋" w:cs="黑体"/>
          <w:b/>
          <w:sz w:val="36"/>
          <w:szCs w:val="36"/>
        </w:rPr>
        <w:t>罗山县人力资源和社会保障</w:t>
      </w:r>
      <w:r>
        <w:rPr>
          <w:rFonts w:hint="eastAsia" w:ascii="仿宋" w:hAnsi="仿宋" w:eastAsia="仿宋" w:cs="仿宋"/>
          <w:b/>
          <w:color w:val="333333"/>
          <w:kern w:val="0"/>
          <w:sz w:val="36"/>
          <w:szCs w:val="36"/>
        </w:rPr>
        <w:t>局概况</w:t>
      </w:r>
    </w:p>
    <w:p>
      <w:pPr>
        <w:widowControl/>
        <w:spacing w:line="360" w:lineRule="auto"/>
        <w:ind w:firstLine="643" w:firstLineChars="200"/>
        <w:jc w:val="left"/>
        <w:rPr>
          <w:rFonts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一、</w:t>
      </w:r>
      <w:r>
        <w:rPr>
          <w:rFonts w:hint="eastAsia" w:ascii="仿宋" w:hAnsi="仿宋" w:eastAsia="仿宋" w:cs="黑体"/>
          <w:b/>
          <w:sz w:val="32"/>
          <w:szCs w:val="32"/>
        </w:rPr>
        <w:t>罗山县人力资源和社会保障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局主要职能是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：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）惯彻执行国家人力资源和社会保障法律、法规、政策。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）负责全县促进就业工作，拟定全县统筹城乡的就业发展发展规划和政策。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）统筹建立覆盖全县城乡的社会保障体系。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）负责全县就业、失业、社会保险基金预测和信号引导。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）统筹拟定全县劳动、人事争议调节仲裁制度和劳动关系政策。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）承办县政府交办的其他它事项。</w:t>
      </w:r>
    </w:p>
    <w:p>
      <w:pPr>
        <w:ind w:firstLine="321" w:firstLineChars="100"/>
        <w:jc w:val="left"/>
        <w:rPr>
          <w:rFonts w:ascii="仿宋" w:hAnsi="仿宋" w:eastAsia="仿宋" w:cs="仿宋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  <w:t>二、罗山县人力资源和社会保障局部门决算单位构成</w:t>
      </w:r>
    </w:p>
    <w:p>
      <w:pPr>
        <w:spacing w:line="360" w:lineRule="auto"/>
        <w:ind w:firstLine="800" w:firstLineChars="250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2018年罗山县人社局内设15个股室：办公室、局党办、行政服务窗口、规划财务股、社会保险基金监督股、职称股、社会保险股、就业促进股、工资福利和退休人员管理股、政策法规和调解仲裁人事劳动争议仲裁院、培训教育股外派劳务培训中心、事业单位人事管理股、电子政务中心、农民工工人力资源市场股。八个2级机构：县人才交流中心、人事档案管理中心、县劳动保障监察大队县劳动保障监察、县城乡居民社会养老保险中心、县机关养老保险所、再就业小额贷款信用担保中心、劳务输出管理办公室、县职工失业保险管理所、县工伤保险管理所、劳动就业管理服务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罗山县人力资源和社会保障局编制配置：局机关共有编制50人，其中行政编制23名，事业编制5人，退休人员22人。县人才交流中心4人、人事档案管理中心2人、县劳动保障监察大队县劳动保障监察7人、县城乡居民社会养老保险中心12人、县机关养老保险所20人、再就业小额贷款信用担保中心、县职工失业保险管理所8人、县工伤保险管理所6人、劳动就业管理服务中心，人事劳动争议仲裁院5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本次化开的决算是包含本级和所属预算单位在内的汇总决算。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仿宋" w:hAnsi="仿宋" w:eastAsia="仿宋" w:cs="黑体"/>
          <w:b/>
          <w:sz w:val="36"/>
          <w:szCs w:val="36"/>
        </w:rPr>
      </w:pPr>
      <w:r>
        <w:rPr>
          <w:rFonts w:hint="eastAsia" w:ascii="仿宋" w:hAnsi="仿宋" w:eastAsia="仿宋" w:cs="仿宋"/>
          <w:b/>
          <w:color w:val="333333"/>
          <w:kern w:val="0"/>
          <w:sz w:val="36"/>
          <w:szCs w:val="36"/>
        </w:rPr>
        <w:t>县</w:t>
      </w:r>
      <w:r>
        <w:rPr>
          <w:rFonts w:hint="eastAsia" w:ascii="仿宋" w:hAnsi="仿宋" w:eastAsia="仿宋" w:cs="黑体"/>
          <w:b/>
          <w:sz w:val="36"/>
          <w:szCs w:val="36"/>
        </w:rPr>
        <w:t>人社局2018年度部门决算情况说明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仿宋" w:hAnsi="仿宋" w:eastAsia="仿宋" w:cs="黑体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一、收入支出决算总体情况说明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="仿宋" w:hAnsi="仿宋" w:eastAsia="仿宋" w:cs="Courier New"/>
          <w:sz w:val="32"/>
          <w:szCs w:val="32"/>
        </w:rPr>
      </w:pPr>
      <w:r>
        <w:rPr>
          <w:rFonts w:hint="eastAsia" w:ascii="仿宋" w:hAnsi="仿宋" w:eastAsia="仿宋" w:cs="Courier New"/>
          <w:sz w:val="32"/>
          <w:szCs w:val="32"/>
        </w:rPr>
        <w:t>县人社局2018年</w:t>
      </w:r>
      <w:r>
        <w:rPr>
          <w:rFonts w:hint="eastAsia" w:ascii="仿宋" w:hAnsi="仿宋" w:eastAsia="仿宋" w:cs="Courier New"/>
          <w:sz w:val="32"/>
          <w:szCs w:val="32"/>
          <w:lang w:val="en-US" w:eastAsia="zh-CN"/>
        </w:rPr>
        <w:t>度</w:t>
      </w:r>
      <w:r>
        <w:rPr>
          <w:rFonts w:hint="eastAsia" w:ascii="仿宋" w:hAnsi="仿宋" w:eastAsia="仿宋" w:cs="Courier New"/>
          <w:sz w:val="32"/>
          <w:szCs w:val="32"/>
        </w:rPr>
        <w:t>收</w:t>
      </w:r>
      <w:r>
        <w:rPr>
          <w:rFonts w:hint="eastAsia" w:ascii="仿宋" w:hAnsi="仿宋" w:eastAsia="仿宋" w:cs="Courier New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Courier New"/>
          <w:sz w:val="32"/>
          <w:szCs w:val="32"/>
          <w:lang w:val="en-US" w:eastAsia="zh-CN"/>
        </w:rPr>
        <w:t>支</w:t>
      </w:r>
      <w:r>
        <w:rPr>
          <w:rFonts w:hint="eastAsia" w:ascii="仿宋" w:hAnsi="仿宋" w:eastAsia="仿宋" w:cs="Courier New"/>
          <w:sz w:val="32"/>
          <w:szCs w:val="32"/>
        </w:rPr>
        <w:t>总计</w:t>
      </w:r>
      <w:r>
        <w:rPr>
          <w:rFonts w:hint="eastAsia" w:ascii="仿宋" w:hAnsi="仿宋" w:eastAsia="仿宋" w:cs="Courier New"/>
          <w:sz w:val="32"/>
          <w:szCs w:val="32"/>
          <w:lang w:val="en-US" w:eastAsia="zh-CN"/>
        </w:rPr>
        <w:t>均为19022.95</w:t>
      </w:r>
      <w:r>
        <w:rPr>
          <w:rFonts w:hint="eastAsia" w:ascii="仿宋" w:hAnsi="仿宋" w:eastAsia="仿宋" w:cs="Courier New"/>
          <w:sz w:val="32"/>
          <w:szCs w:val="32"/>
        </w:rPr>
        <w:t>万元，与</w:t>
      </w:r>
      <w:r>
        <w:rPr>
          <w:rFonts w:hint="eastAsia" w:ascii="仿宋" w:hAnsi="仿宋" w:eastAsia="仿宋" w:cs="Courier New"/>
          <w:sz w:val="32"/>
          <w:szCs w:val="32"/>
          <w:lang w:val="en-US" w:eastAsia="zh-CN"/>
        </w:rPr>
        <w:t>上年度</w:t>
      </w:r>
      <w:r>
        <w:rPr>
          <w:rFonts w:hint="eastAsia" w:ascii="仿宋" w:hAnsi="仿宋" w:eastAsia="仿宋" w:cs="Courier New"/>
          <w:sz w:val="32"/>
          <w:szCs w:val="32"/>
        </w:rPr>
        <w:t>相比</w:t>
      </w:r>
      <w:r>
        <w:rPr>
          <w:rFonts w:hint="eastAsia" w:ascii="仿宋" w:hAnsi="仿宋" w:eastAsia="仿宋" w:cs="Courier New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Courier New"/>
          <w:sz w:val="32"/>
          <w:szCs w:val="32"/>
        </w:rPr>
        <w:t>收</w:t>
      </w:r>
      <w:r>
        <w:rPr>
          <w:rFonts w:hint="eastAsia" w:ascii="仿宋" w:hAnsi="仿宋" w:eastAsia="仿宋" w:cs="Courier New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Courier New"/>
          <w:sz w:val="32"/>
          <w:szCs w:val="32"/>
          <w:lang w:val="en-US" w:eastAsia="zh-CN"/>
        </w:rPr>
        <w:t>支总计各</w:t>
      </w:r>
      <w:r>
        <w:rPr>
          <w:rFonts w:hint="eastAsia" w:ascii="仿宋" w:hAnsi="仿宋" w:eastAsia="仿宋" w:cs="Courier New"/>
          <w:sz w:val="32"/>
          <w:szCs w:val="32"/>
        </w:rPr>
        <w:t>减少44241.78万元,减少69.94%。</w:t>
      </w:r>
      <w:r>
        <w:rPr>
          <w:rFonts w:hint="eastAsia" w:ascii="仿宋" w:hAnsi="仿宋" w:eastAsia="仿宋" w:cs="Courier New"/>
          <w:sz w:val="32"/>
          <w:szCs w:val="32"/>
          <w:lang w:val="en-US" w:eastAsia="zh-CN"/>
        </w:rPr>
        <w:t>主要原因是</w:t>
      </w:r>
      <w:r>
        <w:rPr>
          <w:rFonts w:hint="eastAsia" w:ascii="仿宋" w:hAnsi="仿宋" w:eastAsia="仿宋" w:cs="Courier New"/>
          <w:sz w:val="32"/>
          <w:szCs w:val="32"/>
        </w:rPr>
        <w:t xml:space="preserve">专项经费减少。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firstLine="157" w:firstLineChars="49"/>
        <w:textAlignment w:val="auto"/>
        <w:outlineLvl w:val="1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二、关于收入决算情况说明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2018年度收入合计</w:t>
      </w:r>
      <w:r>
        <w:rPr>
          <w:rFonts w:hint="eastAsia" w:ascii="仿宋" w:hAnsi="仿宋" w:eastAsia="仿宋" w:cs="Courier New"/>
          <w:sz w:val="32"/>
          <w:szCs w:val="32"/>
        </w:rPr>
        <w:t>19014.2</w:t>
      </w:r>
      <w:r>
        <w:rPr>
          <w:rFonts w:hint="eastAsia" w:ascii="仿宋" w:hAnsi="仿宋" w:eastAsia="仿宋" w:cs="Courier New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Courier New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，其中：财政拨款收入</w:t>
      </w:r>
      <w:r>
        <w:rPr>
          <w:rFonts w:hint="eastAsia" w:ascii="仿宋" w:hAnsi="仿宋" w:eastAsia="仿宋" w:cs="Courier New"/>
          <w:sz w:val="32"/>
          <w:szCs w:val="32"/>
        </w:rPr>
        <w:t>19014.2</w:t>
      </w:r>
      <w:r>
        <w:rPr>
          <w:rFonts w:hint="eastAsia" w:ascii="仿宋" w:hAnsi="仿宋" w:eastAsia="仿宋" w:cs="Courier New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Courier New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，占100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40" w:leftChars="0"/>
        <w:textAlignment w:val="auto"/>
        <w:outlineLvl w:val="1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/>
          <w:b/>
          <w:sz w:val="32"/>
          <w:szCs w:val="32"/>
        </w:rPr>
        <w:t>关于支出决算情况说明</w:t>
      </w:r>
    </w:p>
    <w:p>
      <w:pPr>
        <w:adjustRightInd w:val="0"/>
        <w:snapToGrid w:val="0"/>
        <w:spacing w:line="360" w:lineRule="auto"/>
        <w:ind w:firstLine="640"/>
        <w:rPr>
          <w:rFonts w:hint="default" w:ascii="仿宋" w:hAnsi="仿宋" w:eastAsia="仿宋" w:cs="Courier New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2018年度支出合计</w:t>
      </w:r>
      <w:r>
        <w:rPr>
          <w:rFonts w:hint="eastAsia" w:ascii="仿宋" w:hAnsi="仿宋" w:eastAsia="仿宋" w:cs="Courier New"/>
          <w:sz w:val="32"/>
          <w:szCs w:val="32"/>
        </w:rPr>
        <w:t>19014.2</w:t>
      </w:r>
      <w:r>
        <w:rPr>
          <w:rFonts w:hint="eastAsia" w:ascii="仿宋" w:hAnsi="仿宋" w:eastAsia="仿宋" w:cs="Courier New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万元，其中：</w:t>
      </w:r>
      <w:r>
        <w:rPr>
          <w:rFonts w:hint="eastAsia" w:ascii="仿宋" w:hAnsi="仿宋" w:eastAsia="仿宋" w:cs="Courier New"/>
          <w:sz w:val="32"/>
          <w:szCs w:val="32"/>
          <w:lang w:val="en-US" w:eastAsia="zh-CN"/>
        </w:rPr>
        <w:t>基本支出19014.28万元，占100%。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四、财政拨款收入支出决算总体情况说明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Courier New"/>
          <w:sz w:val="32"/>
          <w:szCs w:val="32"/>
        </w:rPr>
      </w:pPr>
      <w:r>
        <w:rPr>
          <w:rFonts w:hint="eastAsia" w:ascii="仿宋" w:hAnsi="仿宋" w:eastAsia="仿宋" w:cs="Courier New"/>
          <w:sz w:val="32"/>
          <w:szCs w:val="32"/>
        </w:rPr>
        <w:t>2018年</w:t>
      </w:r>
      <w:r>
        <w:rPr>
          <w:rFonts w:hint="eastAsia" w:ascii="仿宋" w:hAnsi="仿宋" w:eastAsia="仿宋"/>
          <w:sz w:val="32"/>
          <w:szCs w:val="32"/>
        </w:rPr>
        <w:t>财政拨款收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Courier New"/>
          <w:sz w:val="32"/>
          <w:szCs w:val="32"/>
        </w:rPr>
        <w:t>支出总计均为19</w:t>
      </w:r>
      <w:r>
        <w:rPr>
          <w:rFonts w:hint="eastAsia" w:ascii="仿宋" w:hAnsi="仿宋" w:eastAsia="仿宋" w:cs="Courier New"/>
          <w:sz w:val="32"/>
          <w:szCs w:val="32"/>
          <w:lang w:val="en-US" w:eastAsia="zh-CN"/>
        </w:rPr>
        <w:t>022.95</w:t>
      </w:r>
      <w:r>
        <w:rPr>
          <w:rFonts w:hint="eastAsia" w:ascii="仿宋" w:hAnsi="仿宋" w:eastAsia="仿宋" w:cs="Courier New"/>
          <w:sz w:val="32"/>
          <w:szCs w:val="32"/>
        </w:rPr>
        <w:t>万元，与2017年相比减少44241.78万元，减少69.94%。主要原因</w:t>
      </w:r>
      <w:r>
        <w:rPr>
          <w:rFonts w:hint="eastAsia" w:ascii="仿宋" w:hAnsi="仿宋" w:eastAsia="仿宋" w:cs="Courier New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Courier New"/>
          <w:sz w:val="32"/>
          <w:szCs w:val="32"/>
        </w:rPr>
        <w:t xml:space="preserve">专项经费减少。 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五、一般公共预算财政拨款支出决算情况说明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财政拨款支出决算总体情况。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Courier New"/>
          <w:sz w:val="32"/>
          <w:szCs w:val="32"/>
        </w:rPr>
      </w:pPr>
      <w:r>
        <w:rPr>
          <w:rFonts w:hint="eastAsia" w:ascii="仿宋" w:hAnsi="仿宋" w:eastAsia="仿宋" w:cs="Courier New"/>
          <w:sz w:val="32"/>
          <w:szCs w:val="32"/>
        </w:rPr>
        <w:t>2018年一般公共预算财政拨款支出19014.28万元，占支出合计的100%。与2017年（23652.01万元）相比，一般公共预算财政拨款支出减少44241.73万元，减少69.94%。减少部分主要是专项经费减少。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财政拨款支出决算结构情况。</w:t>
      </w:r>
    </w:p>
    <w:p>
      <w:pPr>
        <w:widowControl/>
        <w:spacing w:line="59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年度一般公共预算财政拨款支出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19014.28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万元，主要用于以下方面：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社会保障和就业支出（类）18842.19万元，占99.09%；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医疗卫生和计划生育支出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（类）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122.16万元；占0.65%，住房保障支出（类）49.93万元，占0.26%。</w:t>
      </w:r>
    </w:p>
    <w:p>
      <w:pPr>
        <w:adjustRightInd w:val="0"/>
        <w:snapToGrid w:val="0"/>
        <w:spacing w:line="360" w:lineRule="auto"/>
        <w:ind w:firstLine="800" w:firstLineChars="250"/>
        <w:rPr>
          <w:rFonts w:ascii="仿宋" w:hAnsi="仿宋" w:eastAsia="仿宋" w:cs="Courier New"/>
          <w:sz w:val="32"/>
          <w:szCs w:val="32"/>
        </w:rPr>
      </w:pP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财政拨款支出决算具体情况。</w:t>
      </w:r>
      <w:bookmarkStart w:id="0" w:name="_GoBack"/>
      <w:bookmarkEnd w:id="0"/>
    </w:p>
    <w:p>
      <w:pPr>
        <w:widowControl/>
        <w:spacing w:line="59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Courier New"/>
          <w:sz w:val="32"/>
          <w:szCs w:val="32"/>
        </w:rPr>
        <w:t>2018年度一般公共预算财政拨款支出年初预算为</w:t>
      </w:r>
      <w:r>
        <w:rPr>
          <w:rFonts w:hint="eastAsia" w:ascii="仿宋" w:hAnsi="仿宋" w:eastAsia="仿宋" w:cs="Courier New"/>
          <w:sz w:val="32"/>
          <w:szCs w:val="32"/>
          <w:lang w:val="en-US" w:eastAsia="zh-CN"/>
        </w:rPr>
        <w:t>19014.28</w:t>
      </w:r>
      <w:r>
        <w:rPr>
          <w:rFonts w:hint="eastAsia" w:ascii="仿宋" w:hAnsi="仿宋" w:eastAsia="仿宋" w:cs="Courier New"/>
          <w:sz w:val="32"/>
          <w:szCs w:val="32"/>
        </w:rPr>
        <w:t>万元，支出决算为19014.28万元，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完成年初预算的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%。其中：</w:t>
      </w:r>
    </w:p>
    <w:p>
      <w:pPr>
        <w:widowControl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社会保障和就业支出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（类）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人力资源和社会保障管理事务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（款）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行政运行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（项）。年初预算为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354.14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万元，支出决算为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354.14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万元，完成年初预算的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widowControl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2.社会保障和就业支出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（类）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人力资源和社会保障管理事务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（款）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劳动保障监察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（项）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年初预算数45.94万元，支出决算数45.94万元，完成年初预算数的100%。</w:t>
      </w:r>
    </w:p>
    <w:p>
      <w:pPr>
        <w:widowControl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3.社会保障和就业支出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（类）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人力资源和社会保障管理事务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（款）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就业管理事务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年初预算数110.69万元，支出决算数110.69万元，完成年初预算数的100%。</w:t>
      </w:r>
    </w:p>
    <w:p>
      <w:pPr>
        <w:widowControl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4.社会保障和就业支出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（类）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人力资源和社会保障管理事务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（款）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社会保险经办机构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年初预算数579.90万元，支出决算数579.90万元，完成年初预算数的100%。</w:t>
      </w:r>
    </w:p>
    <w:p>
      <w:pPr>
        <w:widowControl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5.社会保障和就业支出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（类）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行政事业单位离退休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（款）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归口管理的行政单位离退休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年初预算数5900万元，支出决算数5900万元，完成年初预算数的100%。</w:t>
      </w:r>
    </w:p>
    <w:p>
      <w:pPr>
        <w:widowControl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6.社会保障和就业支出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（类）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行政事业单位离退休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（款）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事业单位离退休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年初预算数10829万元，支出决算数10829万元，完成年初预算数的100%。</w:t>
      </w:r>
    </w:p>
    <w:p>
      <w:pPr>
        <w:widowControl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7.社会保障和就业支出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（类）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行政事业单位离退休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（款）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机关事业单位基本养老保险缴费支出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年初预算数79.55万元，支出决算数79.55万元，完成年初预算数的100%。</w:t>
      </w:r>
    </w:p>
    <w:p>
      <w:pPr>
        <w:widowControl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8.社会保障和就业支出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（类）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行政事业单位离退休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（款）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机关事业单位职业年金缴费支出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年初预算数3.87万元，支出决算数3.87万元，完成年初预算数的100%。</w:t>
      </w:r>
    </w:p>
    <w:p>
      <w:pPr>
        <w:widowControl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9.社会保障和就业支出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（类）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就业补助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（款）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其他就业补助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年初预算数936.31万元，支出决算数936.31万元，完成年初预算数的100%。</w:t>
      </w:r>
    </w:p>
    <w:p>
      <w:pPr>
        <w:widowControl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10.社会保障和就业支出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（类）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抚恤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（款）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死亡抚恤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年初预算数2.71万元，支出决算数2.71万元，完成年初预算数的100%。</w:t>
      </w:r>
    </w:p>
    <w:p>
      <w:pPr>
        <w:widowControl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11.医疗卫生和计划生育支出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（类）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行政事业单位医疗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（款）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行政单位医疗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年初预算数15.65万元，支出决算数15.65万元，完成年初预算数的100%。</w:t>
      </w:r>
    </w:p>
    <w:p>
      <w:pPr>
        <w:widowControl/>
        <w:spacing w:line="59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12.医疗卫生和计划生育支出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（类）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行政事业单位医疗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（款）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事业单位医疗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年初预算数17.21万元，支出决算数17.21元，完成年初预算数的100%。</w:t>
      </w:r>
    </w:p>
    <w:p>
      <w:pPr>
        <w:widowControl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13.医疗卫生和计划生育支出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（类）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行政事业单位医疗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（款）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其他行政事业单位医疗支出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年初预算数89.3万元，支出决算数89.3元，完成年初预算数的100%。</w:t>
      </w:r>
    </w:p>
    <w:p>
      <w:pPr>
        <w:widowControl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14.住房保障支出（类）住房改革支出（款）住房公积金（项）。年初预算数49.93万元，支出决算数49.93万元，完成年初预算数的100%。</w:t>
      </w:r>
    </w:p>
    <w:p>
      <w:pPr>
        <w:widowControl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left="640"/>
        <w:outlineLvl w:val="1"/>
        <w:rPr>
          <w:rFonts w:ascii="仿宋" w:hAnsi="仿宋" w:eastAsia="仿宋" w:cs="Courier New"/>
          <w:b/>
          <w:sz w:val="32"/>
          <w:szCs w:val="32"/>
        </w:rPr>
      </w:pPr>
      <w:r>
        <w:rPr>
          <w:rFonts w:hint="eastAsia" w:ascii="仿宋" w:hAnsi="仿宋" w:eastAsia="仿宋" w:cs="Courier New"/>
          <w:b/>
          <w:sz w:val="32"/>
          <w:szCs w:val="32"/>
        </w:rPr>
        <w:t>六、关于一般公共预算财政拨款基本支出决算情况说明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Courier New"/>
          <w:sz w:val="32"/>
          <w:szCs w:val="32"/>
        </w:rPr>
      </w:pPr>
      <w:r>
        <w:rPr>
          <w:rFonts w:hint="eastAsia" w:ascii="仿宋" w:hAnsi="仿宋" w:eastAsia="仿宋" w:cs="Courier New"/>
          <w:sz w:val="32"/>
          <w:szCs w:val="32"/>
        </w:rPr>
        <w:t>2018年度一般公共预算财政拨款基本支出19014.28万元，其中：</w:t>
      </w:r>
      <w:r>
        <w:rPr>
          <w:rFonts w:hint="eastAsia" w:ascii="仿宋" w:hAnsi="仿宋" w:eastAsia="仿宋"/>
          <w:spacing w:val="-1"/>
          <w:sz w:val="32"/>
          <w:szCs w:val="32"/>
        </w:rPr>
        <w:t>人员经费情况</w:t>
      </w:r>
      <w:r>
        <w:rPr>
          <w:rFonts w:hint="eastAsia" w:ascii="仿宋" w:hAnsi="仿宋" w:eastAsia="仿宋" w:cs="Courier New"/>
          <w:sz w:val="32"/>
          <w:szCs w:val="32"/>
        </w:rPr>
        <w:t>18831.13</w:t>
      </w:r>
      <w:r>
        <w:rPr>
          <w:rFonts w:hint="eastAsia" w:ascii="仿宋" w:hAnsi="仿宋" w:eastAsia="仿宋"/>
          <w:spacing w:val="-1"/>
          <w:sz w:val="32"/>
          <w:szCs w:val="32"/>
        </w:rPr>
        <w:t>万元，</w:t>
      </w:r>
      <w:r>
        <w:rPr>
          <w:rFonts w:hint="eastAsia" w:ascii="仿宋" w:hAnsi="仿宋" w:eastAsia="仿宋" w:cs="Courier New"/>
          <w:sz w:val="32"/>
          <w:szCs w:val="32"/>
        </w:rPr>
        <w:t>主要包括：基本工资、津贴补贴、奖金、绩效工资、社会保障缴费、住房公积金、其他工资福利支出、离休费、离休津补贴、抚恤金、生活补助、医疗费、物业补贴、交通补贴、通讯补贴、健康休养费、其他对个人和家庭的补助支出；</w:t>
      </w:r>
      <w:r>
        <w:rPr>
          <w:rFonts w:hint="eastAsia" w:ascii="仿宋" w:hAnsi="仿宋" w:eastAsia="仿宋"/>
          <w:spacing w:val="-1"/>
          <w:sz w:val="32"/>
          <w:szCs w:val="32"/>
        </w:rPr>
        <w:t>公用经费情况</w:t>
      </w:r>
      <w:r>
        <w:rPr>
          <w:rFonts w:hint="eastAsia" w:ascii="仿宋" w:hAnsi="仿宋" w:eastAsia="仿宋" w:cs="Courier New"/>
          <w:sz w:val="32"/>
          <w:szCs w:val="32"/>
        </w:rPr>
        <w:t>183.05万元，主要包括：办公费、水费、电费、邮电费、差旅费、维修（护）费、租赁费、会议费、培训费、公务接待费、工会经费、福利费、公务用车运行维护费、物业管理费、老干部体检费、其他商品和服务支出、办公设备购置。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firstLine="630" w:firstLineChars="196"/>
        <w:outlineLvl w:val="1"/>
        <w:rPr>
          <w:rFonts w:hint="eastAsia" w:ascii="仿宋" w:hAnsi="仿宋" w:eastAsia="仿宋" w:cs="Courier New"/>
          <w:b/>
          <w:sz w:val="32"/>
          <w:szCs w:val="32"/>
        </w:rPr>
      </w:pPr>
      <w:r>
        <w:rPr>
          <w:rFonts w:hint="eastAsia" w:ascii="仿宋" w:hAnsi="仿宋" w:eastAsia="仿宋" w:cs="Courier New"/>
          <w:b/>
          <w:sz w:val="32"/>
          <w:szCs w:val="32"/>
        </w:rPr>
        <w:t>关于一般公共预算财政拨款“三公”经费支出决算情况说明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321" w:firstLineChars="100"/>
        <w:outlineLvl w:val="1"/>
        <w:rPr>
          <w:rFonts w:hint="eastAsia" w:ascii="宋体" w:hAnsi="宋体" w:cs="楷体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“三公”经费财政拨款支出决算总体情况说明。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36" w:firstLineChars="200"/>
        <w:jc w:val="both"/>
        <w:rPr>
          <w:rFonts w:hint="eastAsia" w:ascii="宋体" w:hAnsi="宋体" w:cs="楷体_GB2312"/>
          <w:b/>
          <w:bCs/>
          <w:sz w:val="32"/>
          <w:szCs w:val="32"/>
        </w:rPr>
      </w:pPr>
      <w:r>
        <w:rPr>
          <w:rFonts w:hint="eastAsia" w:ascii="仿宋" w:hAnsi="仿宋" w:eastAsia="仿宋"/>
          <w:spacing w:val="-1"/>
          <w:lang w:val="en-US" w:eastAsia="zh-CN"/>
        </w:rPr>
        <w:t>2</w:t>
      </w:r>
      <w:r>
        <w:rPr>
          <w:rFonts w:hint="eastAsia" w:ascii="仿宋" w:hAnsi="仿宋" w:eastAsia="仿宋"/>
          <w:spacing w:val="-1"/>
        </w:rPr>
        <w:t>018年度</w:t>
      </w:r>
      <w:r>
        <w:rPr>
          <w:rFonts w:hint="eastAsia" w:ascii="仿宋" w:hAnsi="仿宋" w:eastAsia="仿宋" w:cs="黑体"/>
        </w:rPr>
        <w:t>一般财政拨款“三公”经费支出预算26.47万元，支出决算为2</w:t>
      </w:r>
      <w:r>
        <w:rPr>
          <w:rFonts w:hint="eastAsia" w:ascii="仿宋" w:hAnsi="仿宋" w:eastAsia="仿宋" w:cs="黑体"/>
          <w:lang w:val="en-US" w:eastAsia="zh-CN"/>
        </w:rPr>
        <w:t>3.19</w:t>
      </w:r>
      <w:r>
        <w:rPr>
          <w:rFonts w:hint="eastAsia" w:ascii="仿宋" w:hAnsi="仿宋" w:eastAsia="仿宋" w:cs="黑体"/>
        </w:rPr>
        <w:t>万元，完成预算的8</w:t>
      </w:r>
      <w:r>
        <w:rPr>
          <w:rFonts w:hint="eastAsia" w:ascii="仿宋" w:hAnsi="仿宋" w:eastAsia="仿宋" w:cs="黑体"/>
          <w:lang w:val="en-US" w:eastAsia="zh-CN"/>
        </w:rPr>
        <w:t>7</w:t>
      </w:r>
      <w:r>
        <w:rPr>
          <w:rFonts w:hint="eastAsia" w:ascii="仿宋" w:hAnsi="仿宋" w:eastAsia="仿宋" w:cs="黑体"/>
        </w:rPr>
        <w:t>.6</w:t>
      </w:r>
      <w:r>
        <w:rPr>
          <w:rFonts w:hint="eastAsia" w:ascii="仿宋" w:hAnsi="仿宋" w:eastAsia="仿宋" w:cs="黑体"/>
          <w:lang w:val="en-US" w:eastAsia="zh-CN"/>
        </w:rPr>
        <w:t>1</w:t>
      </w:r>
      <w:r>
        <w:rPr>
          <w:rFonts w:hint="eastAsia" w:ascii="仿宋" w:hAnsi="仿宋" w:eastAsia="仿宋" w:cs="黑体"/>
        </w:rPr>
        <w:t>%。决算数与预算数存在差异的主要原因是减少公务接待费用，加强公务车管理，有效控制了公务车运行费用。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321" w:firstLineChars="100"/>
        <w:outlineLvl w:val="1"/>
        <w:rPr>
          <w:rFonts w:hint="eastAsia" w:ascii="宋体" w:hAnsi="宋体" w:cs="楷体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“三公”经费财政拨款支出决算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具体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情况说明。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36" w:firstLineChars="200"/>
        <w:jc w:val="both"/>
        <w:rPr>
          <w:rFonts w:hint="eastAsia" w:ascii="宋体" w:hAnsi="宋体" w:cs="楷体_GB2312"/>
          <w:b/>
          <w:bCs/>
          <w:sz w:val="32"/>
          <w:szCs w:val="32"/>
        </w:rPr>
      </w:pPr>
      <w:r>
        <w:rPr>
          <w:rFonts w:hint="eastAsia" w:ascii="仿宋" w:hAnsi="仿宋" w:eastAsia="仿宋"/>
          <w:spacing w:val="-1"/>
          <w:lang w:val="en-US" w:eastAsia="zh-CN"/>
        </w:rPr>
        <w:t>2</w:t>
      </w:r>
      <w:r>
        <w:rPr>
          <w:rFonts w:hint="eastAsia" w:ascii="仿宋" w:hAnsi="仿宋" w:eastAsia="仿宋"/>
          <w:spacing w:val="-1"/>
        </w:rPr>
        <w:t>018年</w:t>
      </w:r>
      <w:r>
        <w:rPr>
          <w:rFonts w:hint="eastAsia" w:ascii="仿宋" w:hAnsi="仿宋" w:eastAsia="仿宋" w:cs="黑体"/>
        </w:rPr>
        <w:t>“三公”经费</w:t>
      </w:r>
      <w:r>
        <w:rPr>
          <w:rFonts w:hint="eastAsia" w:ascii="仿宋" w:hAnsi="仿宋" w:eastAsia="仿宋" w:cs="黑体"/>
          <w:lang w:val="en-US" w:eastAsia="zh-CN"/>
        </w:rPr>
        <w:t>财政拨款</w:t>
      </w:r>
      <w:r>
        <w:rPr>
          <w:rFonts w:hint="eastAsia" w:ascii="仿宋" w:hAnsi="仿宋" w:eastAsia="仿宋" w:cs="黑体"/>
        </w:rPr>
        <w:t>支出决算</w:t>
      </w:r>
      <w:r>
        <w:rPr>
          <w:rFonts w:hint="eastAsia" w:ascii="仿宋" w:hAnsi="仿宋" w:eastAsia="仿宋" w:cs="黑体"/>
          <w:lang w:val="en-US" w:eastAsia="zh-CN"/>
        </w:rPr>
        <w:t>中，因公出国（境）费支出决算0万元，完成预算的0%，占0%；</w:t>
      </w:r>
      <w:r>
        <w:rPr>
          <w:rFonts w:hint="eastAsia" w:ascii="宋体" w:hAnsi="宋体" w:cs="仿宋_GB2312"/>
          <w:sz w:val="32"/>
          <w:szCs w:val="32"/>
        </w:rPr>
        <w:t>公务用车购置及运行费支出决算</w:t>
      </w:r>
      <w:r>
        <w:rPr>
          <w:rFonts w:hint="eastAsia" w:ascii="宋体" w:hAnsi="宋体" w:cs="仿宋_GB2312"/>
          <w:sz w:val="32"/>
          <w:szCs w:val="32"/>
          <w:lang w:val="en-US" w:eastAsia="zh-CN"/>
        </w:rPr>
        <w:t>3</w:t>
      </w:r>
      <w:r>
        <w:rPr>
          <w:rFonts w:hint="eastAsia" w:ascii="宋体" w:hAnsi="宋体" w:cs="仿宋_GB2312"/>
          <w:sz w:val="32"/>
          <w:szCs w:val="32"/>
        </w:rPr>
        <w:t>万元，完成预算的</w:t>
      </w:r>
      <w:r>
        <w:rPr>
          <w:rFonts w:hint="eastAsia" w:ascii="宋体" w:hAnsi="宋体" w:cs="仿宋_GB2312"/>
          <w:sz w:val="32"/>
          <w:szCs w:val="32"/>
          <w:lang w:val="en-US" w:eastAsia="zh-CN"/>
        </w:rPr>
        <w:t>100</w:t>
      </w:r>
      <w:r>
        <w:rPr>
          <w:rFonts w:hint="eastAsia" w:ascii="宋体" w:hAnsi="宋体" w:cs="仿宋_GB2312"/>
          <w:sz w:val="32"/>
          <w:szCs w:val="32"/>
        </w:rPr>
        <w:t>%，占</w:t>
      </w:r>
      <w:r>
        <w:rPr>
          <w:rFonts w:hint="eastAsia" w:ascii="宋体" w:hAnsi="宋体" w:cs="仿宋_GB2312"/>
          <w:sz w:val="32"/>
          <w:szCs w:val="32"/>
          <w:lang w:val="en-US" w:eastAsia="zh-CN"/>
        </w:rPr>
        <w:t>14.85</w:t>
      </w:r>
      <w:r>
        <w:rPr>
          <w:rFonts w:hint="eastAsia" w:ascii="宋体" w:hAnsi="宋体" w:cs="仿宋_GB2312"/>
          <w:sz w:val="32"/>
          <w:szCs w:val="32"/>
        </w:rPr>
        <w:t>%；公务接待费支出决算</w:t>
      </w:r>
      <w:r>
        <w:rPr>
          <w:rFonts w:hint="eastAsia" w:ascii="宋体" w:hAnsi="宋体" w:cs="仿宋_GB2312"/>
          <w:sz w:val="32"/>
          <w:szCs w:val="32"/>
          <w:lang w:val="en-US" w:eastAsia="zh-CN"/>
        </w:rPr>
        <w:t>20.19</w:t>
      </w:r>
      <w:r>
        <w:rPr>
          <w:rFonts w:hint="eastAsia" w:ascii="宋体" w:hAnsi="宋体" w:cs="仿宋_GB2312"/>
          <w:sz w:val="32"/>
          <w:szCs w:val="32"/>
        </w:rPr>
        <w:t>万元，完成预算的</w:t>
      </w:r>
      <w:r>
        <w:rPr>
          <w:rFonts w:hint="eastAsia" w:ascii="宋体" w:hAnsi="宋体" w:cs="仿宋_GB2312"/>
          <w:sz w:val="32"/>
          <w:szCs w:val="32"/>
          <w:lang w:val="en-US" w:eastAsia="zh-CN"/>
        </w:rPr>
        <w:t>86.02</w:t>
      </w:r>
      <w:r>
        <w:rPr>
          <w:rFonts w:hint="eastAsia" w:ascii="宋体" w:hAnsi="宋体" w:cs="仿宋_GB2312"/>
          <w:sz w:val="32"/>
          <w:szCs w:val="32"/>
        </w:rPr>
        <w:t>%，占</w:t>
      </w:r>
      <w:r>
        <w:rPr>
          <w:rFonts w:hint="eastAsia" w:ascii="宋体" w:hAnsi="宋体" w:cs="仿宋_GB2312"/>
          <w:sz w:val="32"/>
          <w:szCs w:val="32"/>
          <w:lang w:val="en-US" w:eastAsia="zh-CN"/>
        </w:rPr>
        <w:t>85.15</w:t>
      </w:r>
      <w:r>
        <w:rPr>
          <w:rFonts w:hint="eastAsia" w:ascii="宋体" w:hAnsi="宋体" w:cs="仿宋_GB2312"/>
          <w:sz w:val="32"/>
          <w:szCs w:val="32"/>
        </w:rPr>
        <w:t>%。具体情况如下：</w:t>
      </w:r>
    </w:p>
    <w:p>
      <w:pPr>
        <w:pStyle w:val="2"/>
        <w:numPr>
          <w:ilvl w:val="0"/>
          <w:numId w:val="0"/>
        </w:numPr>
        <w:kinsoku w:val="0"/>
        <w:overflowPunct w:val="0"/>
        <w:snapToGrid w:val="0"/>
        <w:spacing w:line="360" w:lineRule="auto"/>
        <w:ind w:leftChars="200" w:firstLine="321" w:firstLineChars="100"/>
        <w:jc w:val="both"/>
        <w:rPr>
          <w:rFonts w:hint="eastAsia" w:ascii="仿宋" w:hAnsi="仿宋" w:eastAsia="仿宋" w:cs="黑体"/>
        </w:rPr>
      </w:pPr>
      <w:r>
        <w:rPr>
          <w:rFonts w:hint="eastAsia" w:ascii="仿宋" w:hAnsi="仿宋" w:eastAsia="仿宋" w:cs="黑体"/>
          <w:b/>
          <w:bCs/>
          <w:lang w:val="en-US" w:eastAsia="zh-CN"/>
        </w:rPr>
        <w:t>1.</w:t>
      </w:r>
      <w:r>
        <w:rPr>
          <w:rFonts w:hint="eastAsia" w:ascii="仿宋" w:hAnsi="仿宋" w:eastAsia="仿宋" w:cs="黑体"/>
          <w:b/>
          <w:bCs/>
        </w:rPr>
        <w:t>因公出国（境）</w:t>
      </w:r>
      <w:r>
        <w:rPr>
          <w:rFonts w:hint="eastAsia" w:ascii="仿宋" w:hAnsi="仿宋" w:eastAsia="仿宋" w:cs="黑体"/>
          <w:b/>
          <w:bCs/>
          <w:lang w:val="en-US" w:eastAsia="zh-CN"/>
        </w:rPr>
        <w:t>费用</w:t>
      </w:r>
      <w:r>
        <w:rPr>
          <w:rFonts w:hint="eastAsia" w:ascii="仿宋" w:hAnsi="仿宋" w:eastAsia="仿宋" w:cs="黑体"/>
        </w:rPr>
        <w:t>2018年度因公出国（境）预算决算</w:t>
      </w:r>
      <w:r>
        <w:rPr>
          <w:rFonts w:hint="eastAsia" w:ascii="仿宋" w:hAnsi="仿宋" w:eastAsia="仿宋" w:cs="黑体"/>
          <w:lang w:val="en-US" w:eastAsia="zh-CN"/>
        </w:rPr>
        <w:t>金额</w:t>
      </w:r>
      <w:r>
        <w:rPr>
          <w:rFonts w:hint="eastAsia" w:ascii="仿宋" w:hAnsi="仿宋" w:eastAsia="仿宋" w:cs="黑体"/>
        </w:rPr>
        <w:t>均为0</w:t>
      </w:r>
      <w:r>
        <w:rPr>
          <w:rFonts w:hint="eastAsia" w:ascii="仿宋" w:hAnsi="仿宋" w:eastAsia="仿宋" w:cs="黑体"/>
          <w:lang w:val="en-US" w:eastAsia="zh-CN"/>
        </w:rPr>
        <w:t>万元</w:t>
      </w:r>
      <w:r>
        <w:rPr>
          <w:rFonts w:hint="eastAsia" w:ascii="仿宋" w:hAnsi="仿宋" w:eastAsia="仿宋" w:cs="黑体"/>
        </w:rPr>
        <w:t>。2018年度因公出国（境）团组数为0</w:t>
      </w:r>
      <w:r>
        <w:rPr>
          <w:rFonts w:hint="eastAsia" w:ascii="仿宋" w:hAnsi="仿宋" w:eastAsia="仿宋" w:cs="黑体"/>
          <w:lang w:val="en-US" w:eastAsia="zh-CN"/>
        </w:rPr>
        <w:t>人</w:t>
      </w:r>
      <w:r>
        <w:rPr>
          <w:rFonts w:hint="eastAsia" w:ascii="仿宋" w:hAnsi="仿宋" w:eastAsia="仿宋" w:cs="黑体"/>
        </w:rPr>
        <w:t>，因公出国（境）人数为0人。</w:t>
      </w:r>
    </w:p>
    <w:p>
      <w:pPr>
        <w:widowControl/>
        <w:numPr>
          <w:ilvl w:val="0"/>
          <w:numId w:val="4"/>
        </w:numPr>
        <w:spacing w:line="590" w:lineRule="exact"/>
        <w:ind w:firstLine="643" w:firstLineChars="200"/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公务用车购置及运行费</w:t>
      </w:r>
      <w:r>
        <w:rPr>
          <w:rFonts w:hint="eastAsia" w:ascii="仿宋" w:hAnsi="仿宋" w:eastAsia="仿宋" w:cs="仿宋"/>
          <w:sz w:val="32"/>
          <w:szCs w:val="32"/>
          <w:u w:val="dotDash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初预算为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万元，支出决算为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万元，完成年初预算的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%。其中</w:t>
      </w:r>
      <w:r>
        <w:rPr>
          <w:rFonts w:hint="eastAsia" w:ascii="宋体" w:hAnsi="宋体" w:cs="仿宋_GB2312"/>
          <w:sz w:val="32"/>
          <w:szCs w:val="32"/>
        </w:rPr>
        <w:t>：</w:t>
      </w:r>
    </w:p>
    <w:p>
      <w:pPr>
        <w:widowControl/>
        <w:spacing w:line="590" w:lineRule="exact"/>
        <w:ind w:firstLine="643" w:firstLineChars="200"/>
        <w:rPr>
          <w:rFonts w:hint="eastAsia" w:ascii="宋体" w:hAnsi="宋体" w:eastAsia="宋体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公务用车购置支出为</w:t>
      </w:r>
      <w:r>
        <w:rPr>
          <w:rFonts w:hint="eastAsia" w:ascii="宋体" w:hAnsi="宋体" w:cs="仿宋_GB2312"/>
          <w:sz w:val="32"/>
          <w:szCs w:val="32"/>
        </w:rPr>
        <w:t>0万元,购置车辆0辆</w:t>
      </w:r>
      <w:r>
        <w:rPr>
          <w:rFonts w:hint="eastAsia" w:ascii="宋体" w:hAnsi="宋体" w:cs="仿宋_GB2312"/>
          <w:sz w:val="32"/>
          <w:szCs w:val="32"/>
          <w:lang w:eastAsia="zh-CN"/>
        </w:rPr>
        <w:t>。</w:t>
      </w:r>
    </w:p>
    <w:p>
      <w:pPr>
        <w:widowControl/>
        <w:spacing w:line="59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公务用车运行支出</w:t>
      </w:r>
      <w:r>
        <w:rPr>
          <w:rFonts w:hint="eastAsia" w:ascii="宋体" w:hAnsi="宋体" w:cs="仿宋_GB2312"/>
          <w:sz w:val="32"/>
          <w:szCs w:val="32"/>
          <w:lang w:val="en-US" w:eastAsia="zh-CN"/>
        </w:rPr>
        <w:t>3</w:t>
      </w:r>
      <w:r>
        <w:rPr>
          <w:rFonts w:hint="eastAsia" w:ascii="宋体" w:hAnsi="宋体" w:cs="仿宋_GB2312"/>
          <w:sz w:val="32"/>
          <w:szCs w:val="32"/>
        </w:rPr>
        <w:t>万元。主</w:t>
      </w:r>
      <w:r>
        <w:rPr>
          <w:rFonts w:hint="eastAsia" w:ascii="仿宋" w:hAnsi="仿宋" w:eastAsia="仿宋" w:cs="仿宋"/>
          <w:sz w:val="32"/>
          <w:szCs w:val="32"/>
        </w:rPr>
        <w:t>要用于购汽油，车辆保险，汽车维修。201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年期末，部门开支财政拨款的公务用车保有量为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辆。</w:t>
      </w:r>
    </w:p>
    <w:p>
      <w:pPr>
        <w:pStyle w:val="2"/>
        <w:keepNext w:val="0"/>
        <w:keepLines w:val="0"/>
        <w:pageBreakBefore w:val="0"/>
        <w:tabs>
          <w:tab w:val="left" w:pos="709"/>
        </w:tabs>
        <w:kinsoku w:val="0"/>
        <w:wordWrap/>
        <w:overflowPunct w:val="0"/>
        <w:topLinePunct w:val="0"/>
        <w:bidi w:val="0"/>
        <w:snapToGrid w:val="0"/>
        <w:spacing w:line="360" w:lineRule="auto"/>
        <w:ind w:left="0" w:firstLine="713" w:firstLineChars="222"/>
        <w:jc w:val="both"/>
        <w:textAlignment w:val="auto"/>
        <w:rPr>
          <w:rFonts w:hint="eastAsia" w:ascii="宋体" w:hAnsi="宋体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3.公务接待费</w:t>
      </w:r>
      <w:r>
        <w:rPr>
          <w:rFonts w:hint="eastAsia" w:ascii="宋体" w:hAnsi="宋体" w:cs="仿宋_GB2312"/>
          <w:sz w:val="32"/>
          <w:szCs w:val="32"/>
          <w:u w:val="dotDash"/>
        </w:rPr>
        <w:t>年</w:t>
      </w:r>
      <w:r>
        <w:rPr>
          <w:rFonts w:hint="eastAsia" w:ascii="宋体" w:hAnsi="宋体" w:cs="仿宋_GB2312"/>
          <w:sz w:val="32"/>
          <w:szCs w:val="32"/>
        </w:rPr>
        <w:t>初预算为</w:t>
      </w:r>
      <w:r>
        <w:rPr>
          <w:rFonts w:hint="eastAsia" w:ascii="宋体" w:hAnsi="宋体" w:cs="仿宋_GB2312"/>
          <w:sz w:val="32"/>
          <w:szCs w:val="32"/>
          <w:lang w:val="en-US" w:eastAsia="zh-CN"/>
        </w:rPr>
        <w:t>23.47</w:t>
      </w:r>
      <w:r>
        <w:rPr>
          <w:rFonts w:hint="eastAsia" w:ascii="宋体" w:hAnsi="宋体" w:cs="仿宋_GB2312"/>
          <w:sz w:val="32"/>
          <w:szCs w:val="32"/>
        </w:rPr>
        <w:t>万元，支出决算为</w:t>
      </w:r>
      <w:r>
        <w:rPr>
          <w:rFonts w:hint="eastAsia" w:ascii="宋体" w:hAnsi="宋体" w:cs="仿宋_GB2312"/>
          <w:sz w:val="32"/>
          <w:szCs w:val="32"/>
          <w:lang w:val="en-US" w:eastAsia="zh-CN"/>
        </w:rPr>
        <w:t>20.19</w:t>
      </w:r>
      <w:r>
        <w:rPr>
          <w:rFonts w:hint="eastAsia" w:ascii="宋体" w:hAnsi="宋体" w:cs="仿宋_GB2312"/>
          <w:sz w:val="32"/>
          <w:szCs w:val="32"/>
        </w:rPr>
        <w:t>万元，完成年初预算的</w:t>
      </w:r>
      <w:r>
        <w:rPr>
          <w:rFonts w:hint="eastAsia" w:ascii="宋体" w:hAnsi="宋体" w:cs="仿宋_GB2312"/>
          <w:sz w:val="32"/>
          <w:szCs w:val="32"/>
          <w:lang w:val="en-US" w:eastAsia="zh-CN"/>
        </w:rPr>
        <w:t>86.02</w:t>
      </w:r>
      <w:r>
        <w:rPr>
          <w:rFonts w:hint="eastAsia" w:ascii="宋体" w:hAnsi="宋体" w:cs="仿宋_GB2312"/>
          <w:sz w:val="32"/>
          <w:szCs w:val="32"/>
        </w:rPr>
        <w:t>%。决算数与年初预算数存在差异的主要原因</w:t>
      </w:r>
      <w:r>
        <w:rPr>
          <w:rFonts w:hint="eastAsia" w:ascii="仿宋" w:hAnsi="仿宋" w:eastAsia="仿宋" w:cs="黑体"/>
        </w:rPr>
        <w:t>人社局机关认真执行中纪委的“八项规定”及省、市、县纪委的相关规定，杜绝不必要的迎来送往，从而有效地减少了公务接待费用。</w:t>
      </w:r>
      <w:r>
        <w:rPr>
          <w:rFonts w:hint="eastAsia" w:ascii="仿宋" w:hAnsi="仿宋" w:eastAsia="仿宋" w:cs="黑体"/>
          <w:lang w:val="en-US" w:eastAsia="zh-CN"/>
        </w:rPr>
        <w:t>其中：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topLinePunct w:val="0"/>
        <w:bidi w:val="0"/>
        <w:spacing w:line="360" w:lineRule="auto"/>
        <w:ind w:left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外宾接待支出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万元。2018年共接待国（境）外来访团组0个.来访外宾0人次（不包括陪同人员）。</w:t>
      </w:r>
    </w:p>
    <w:p>
      <w:pPr>
        <w:pStyle w:val="2"/>
        <w:keepNext w:val="0"/>
        <w:keepLines w:val="0"/>
        <w:pageBreakBefore w:val="0"/>
        <w:tabs>
          <w:tab w:val="left" w:pos="709"/>
        </w:tabs>
        <w:kinsoku w:val="0"/>
        <w:wordWrap/>
        <w:overflowPunct w:val="0"/>
        <w:topLinePunct w:val="0"/>
        <w:bidi w:val="0"/>
        <w:snapToGrid w:val="0"/>
        <w:spacing w:line="360" w:lineRule="auto"/>
        <w:ind w:left="0" w:leftChars="0" w:firstLine="321" w:firstLineChars="100"/>
        <w:jc w:val="both"/>
        <w:textAlignment w:val="auto"/>
        <w:rPr>
          <w:rFonts w:hint="default" w:ascii="仿宋" w:hAnsi="仿宋" w:eastAsia="仿宋" w:cs="黑体"/>
          <w:lang w:val="en-US"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其他国内公务接待支出</w:t>
      </w:r>
      <w:r>
        <w:rPr>
          <w:rFonts w:hint="eastAsia" w:ascii="仿宋" w:hAnsi="仿宋" w:eastAsia="仿宋"/>
          <w:spacing w:val="-1"/>
        </w:rPr>
        <w:t>20.19万元，</w:t>
      </w:r>
      <w:r>
        <w:rPr>
          <w:rFonts w:hint="eastAsia" w:ascii="仿宋" w:hAnsi="仿宋" w:eastAsia="仿宋" w:cs="Courier New"/>
          <w:kern w:val="2"/>
        </w:rPr>
        <w:t>主要用于按规定开支的各类公务接待等支出。2018年人社 局共接待来访人员403批次、3230人次（不包括陪同人员）。从数据看，2018年接待费比上年度（15.23万元）增加4.96万元，同比增加32.57%。增加的</w:t>
      </w:r>
      <w:r>
        <w:rPr>
          <w:rFonts w:hint="eastAsia" w:ascii="仿宋" w:hAnsi="仿宋" w:eastAsia="仿宋" w:cs="黑体"/>
        </w:rPr>
        <w:t>主要原因是人社局机关业务量增加导致公务接待费用增加</w:t>
      </w:r>
      <w:r>
        <w:rPr>
          <w:rFonts w:hint="eastAsia" w:ascii="仿宋" w:hAnsi="仿宋" w:eastAsia="仿宋" w:cs="黑体"/>
          <w:lang w:eastAsia="zh-CN"/>
        </w:rPr>
        <w:t>。</w:t>
      </w:r>
      <w:r>
        <w:rPr>
          <w:rFonts w:hint="eastAsia" w:ascii="仿宋" w:hAnsi="仿宋" w:eastAsia="仿宋" w:cs="黑体"/>
          <w:lang w:val="en-US" w:eastAsia="zh-CN"/>
        </w:rPr>
        <w:t xml:space="preserve">                                                                 </w:t>
      </w:r>
    </w:p>
    <w:p>
      <w:pPr>
        <w:pStyle w:val="12"/>
        <w:numPr>
          <w:ilvl w:val="0"/>
          <w:numId w:val="0"/>
        </w:numPr>
        <w:tabs>
          <w:tab w:val="left" w:pos="851"/>
        </w:tabs>
        <w:ind w:firstLine="643" w:firstLineChars="200"/>
        <w:rPr>
          <w:rFonts w:ascii="仿宋" w:hAnsi="仿宋" w:eastAsia="仿宋" w:cs="Courier New"/>
          <w:b/>
          <w:sz w:val="32"/>
          <w:szCs w:val="32"/>
        </w:rPr>
      </w:pPr>
      <w:r>
        <w:rPr>
          <w:rFonts w:hint="eastAsia" w:ascii="仿宋" w:hAnsi="仿宋" w:eastAsia="仿宋" w:cs="Courier New"/>
          <w:b/>
          <w:sz w:val="32"/>
          <w:szCs w:val="32"/>
          <w:lang w:val="en-US" w:eastAsia="zh-CN"/>
        </w:rPr>
        <w:t>八、</w:t>
      </w:r>
      <w:r>
        <w:rPr>
          <w:rFonts w:hint="eastAsia" w:ascii="仿宋" w:hAnsi="仿宋" w:eastAsia="仿宋" w:cs="Courier New"/>
          <w:b/>
          <w:sz w:val="32"/>
          <w:szCs w:val="32"/>
        </w:rPr>
        <w:t>关于预算绩效情况说明。</w:t>
      </w:r>
    </w:p>
    <w:p>
      <w:pPr>
        <w:pStyle w:val="12"/>
        <w:numPr>
          <w:ilvl w:val="0"/>
          <w:numId w:val="0"/>
        </w:numPr>
        <w:ind w:firstLine="320" w:firstLineChars="100"/>
        <w:rPr>
          <w:rFonts w:ascii="仿宋" w:hAnsi="仿宋" w:eastAsia="仿宋" w:cs="Courier New"/>
          <w:sz w:val="32"/>
          <w:szCs w:val="32"/>
        </w:rPr>
      </w:pPr>
      <w:r>
        <w:rPr>
          <w:rFonts w:hint="eastAsia" w:ascii="仿宋" w:hAnsi="仿宋" w:eastAsia="仿宋" w:cs="Courier New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Courier New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Courier New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Courier New"/>
          <w:sz w:val="32"/>
          <w:szCs w:val="32"/>
        </w:rPr>
        <w:t>绩效管理工作开展情况。</w:t>
      </w:r>
    </w:p>
    <w:p>
      <w:pPr>
        <w:ind w:firstLine="800" w:firstLineChars="250"/>
        <w:rPr>
          <w:rFonts w:ascii="仿宋" w:hAnsi="仿宋" w:eastAsia="仿宋" w:cs="Courier New"/>
          <w:sz w:val="32"/>
          <w:szCs w:val="32"/>
        </w:rPr>
      </w:pPr>
      <w:r>
        <w:rPr>
          <w:rFonts w:hint="eastAsia" w:ascii="仿宋" w:hAnsi="仿宋" w:eastAsia="仿宋" w:cs="Courier New"/>
          <w:sz w:val="32"/>
          <w:szCs w:val="32"/>
        </w:rPr>
        <w:t>一、加强组织领导，二、制定工作方案，三、实行精准管理，四、强化督促检查，五、推行双向责任，六、完善奖惩措施，七、落实整改提升。</w:t>
      </w:r>
    </w:p>
    <w:p>
      <w:pPr>
        <w:pStyle w:val="12"/>
        <w:numPr>
          <w:ilvl w:val="0"/>
          <w:numId w:val="5"/>
        </w:numPr>
        <w:ind w:firstLineChars="0"/>
        <w:rPr>
          <w:rFonts w:ascii="仿宋" w:hAnsi="仿宋" w:eastAsia="仿宋" w:cs="Courier New"/>
          <w:sz w:val="32"/>
          <w:szCs w:val="32"/>
        </w:rPr>
      </w:pPr>
      <w:r>
        <w:rPr>
          <w:rFonts w:hint="eastAsia" w:ascii="仿宋" w:hAnsi="仿宋" w:eastAsia="仿宋" w:cs="Courier New"/>
          <w:sz w:val="32"/>
          <w:szCs w:val="32"/>
        </w:rPr>
        <w:t>预算（项目）绩效情况说明。</w:t>
      </w:r>
    </w:p>
    <w:p>
      <w:pPr>
        <w:pStyle w:val="12"/>
        <w:ind w:left="160" w:leftChars="76" w:firstLine="640"/>
        <w:rPr>
          <w:rFonts w:ascii="仿宋_GB2312" w:hAnsi="宋体" w:eastAsia="仿宋_GB2312" w:cs="Courier New"/>
          <w:b/>
          <w:bCs/>
          <w:sz w:val="32"/>
          <w:szCs w:val="32"/>
        </w:rPr>
      </w:pPr>
      <w:r>
        <w:rPr>
          <w:rFonts w:hint="eastAsia" w:ascii="仿宋" w:hAnsi="仿宋" w:eastAsia="仿宋" w:cs="Courier New"/>
          <w:sz w:val="32"/>
          <w:szCs w:val="32"/>
        </w:rPr>
        <w:t>根据财政预算管理要求,我局对2018年度一般公共预算项目支出全面开展了绩效自评.涉及预算资金936.31万元,自评覆盖率达到100%。</w:t>
      </w:r>
    </w:p>
    <w:p>
      <w:pPr>
        <w:spacing w:line="600" w:lineRule="exact"/>
        <w:ind w:firstLine="790" w:firstLineChars="246"/>
        <w:rPr>
          <w:rFonts w:ascii="仿宋" w:hAnsi="仿宋" w:eastAsia="仿宋" w:cs="Courier New"/>
          <w:b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九、</w:t>
      </w:r>
      <w:r>
        <w:rPr>
          <w:rFonts w:ascii="仿宋" w:hAnsi="仿宋" w:eastAsia="仿宋" w:cs="Courier New"/>
          <w:b/>
          <w:sz w:val="32"/>
          <w:szCs w:val="32"/>
        </w:rPr>
        <w:t>政府性基金预算支出决算情况说明</w:t>
      </w:r>
    </w:p>
    <w:p>
      <w:pPr>
        <w:widowControl/>
        <w:spacing w:line="600" w:lineRule="exact"/>
        <w:ind w:firstLine="800" w:firstLineChars="250"/>
        <w:jc w:val="left"/>
        <w:rPr>
          <w:rFonts w:ascii="仿宋" w:hAnsi="仿宋" w:eastAsia="仿宋" w:cs="Courier New"/>
          <w:sz w:val="32"/>
          <w:szCs w:val="32"/>
        </w:rPr>
      </w:pPr>
      <w:r>
        <w:rPr>
          <w:rFonts w:ascii="仿宋" w:hAnsi="仿宋" w:eastAsia="仿宋" w:cs="Courier New"/>
          <w:sz w:val="32"/>
          <w:szCs w:val="32"/>
        </w:rPr>
        <w:t>我局201</w:t>
      </w:r>
      <w:r>
        <w:rPr>
          <w:rFonts w:hint="eastAsia" w:ascii="仿宋" w:hAnsi="仿宋" w:eastAsia="仿宋" w:cs="Courier New"/>
          <w:sz w:val="32"/>
          <w:szCs w:val="32"/>
        </w:rPr>
        <w:t>8</w:t>
      </w:r>
      <w:r>
        <w:rPr>
          <w:rFonts w:ascii="仿宋" w:hAnsi="仿宋" w:eastAsia="仿宋" w:cs="Courier New"/>
          <w:sz w:val="32"/>
          <w:szCs w:val="32"/>
        </w:rPr>
        <w:t>年无政府性基金预算</w:t>
      </w:r>
      <w:r>
        <w:rPr>
          <w:rFonts w:hint="eastAsia" w:ascii="仿宋" w:hAnsi="仿宋" w:eastAsia="仿宋" w:cs="Courier New"/>
          <w:sz w:val="32"/>
          <w:szCs w:val="32"/>
        </w:rPr>
        <w:t>收入，也无政府性基金</w:t>
      </w:r>
      <w:r>
        <w:rPr>
          <w:rFonts w:ascii="仿宋" w:hAnsi="仿宋" w:eastAsia="仿宋" w:cs="Courier New"/>
          <w:sz w:val="32"/>
          <w:szCs w:val="32"/>
        </w:rPr>
        <w:t>支出。</w:t>
      </w:r>
    </w:p>
    <w:p>
      <w:pPr>
        <w:adjustRightInd w:val="0"/>
        <w:snapToGrid w:val="0"/>
        <w:spacing w:line="360" w:lineRule="auto"/>
        <w:ind w:firstLine="803" w:firstLineChars="250"/>
        <w:outlineLvl w:val="1"/>
        <w:rPr>
          <w:rFonts w:ascii="仿宋" w:hAnsi="仿宋" w:eastAsia="仿宋" w:cs="Courier New"/>
          <w:b/>
          <w:sz w:val="32"/>
          <w:szCs w:val="32"/>
        </w:rPr>
      </w:pPr>
      <w:r>
        <w:rPr>
          <w:rFonts w:hint="eastAsia" w:ascii="仿宋" w:hAnsi="仿宋" w:eastAsia="仿宋" w:cs="Courier New"/>
          <w:b/>
          <w:sz w:val="32"/>
          <w:szCs w:val="32"/>
        </w:rPr>
        <w:t>十、机关运行经费支出情况说明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Courier New"/>
          <w:sz w:val="32"/>
          <w:szCs w:val="32"/>
        </w:rPr>
      </w:pPr>
      <w:r>
        <w:rPr>
          <w:rFonts w:ascii="仿宋" w:hAnsi="仿宋" w:eastAsia="仿宋" w:cs="Courier New"/>
          <w:sz w:val="32"/>
          <w:szCs w:val="32"/>
        </w:rPr>
        <w:t>201</w:t>
      </w:r>
      <w:r>
        <w:rPr>
          <w:rFonts w:hint="eastAsia" w:ascii="仿宋" w:hAnsi="仿宋" w:eastAsia="仿宋" w:cs="Courier New"/>
          <w:sz w:val="32"/>
          <w:szCs w:val="32"/>
        </w:rPr>
        <w:t>8</w:t>
      </w:r>
      <w:r>
        <w:rPr>
          <w:rFonts w:ascii="仿宋" w:hAnsi="仿宋" w:eastAsia="仿宋" w:cs="Courier New"/>
          <w:sz w:val="32"/>
          <w:szCs w:val="32"/>
        </w:rPr>
        <w:t>年</w:t>
      </w:r>
      <w:r>
        <w:rPr>
          <w:rFonts w:hint="eastAsia" w:ascii="仿宋" w:hAnsi="仿宋" w:eastAsia="仿宋" w:cs="Courier New"/>
          <w:sz w:val="32"/>
          <w:szCs w:val="32"/>
        </w:rPr>
        <w:t>度</w:t>
      </w:r>
      <w:r>
        <w:rPr>
          <w:rFonts w:ascii="仿宋" w:hAnsi="仿宋" w:eastAsia="仿宋" w:cs="Courier New"/>
          <w:sz w:val="32"/>
          <w:szCs w:val="32"/>
        </w:rPr>
        <w:t>机关运行经费支出</w:t>
      </w:r>
      <w:r>
        <w:rPr>
          <w:rFonts w:hint="eastAsia" w:ascii="仿宋" w:hAnsi="仿宋" w:eastAsia="仿宋" w:cs="Courier New"/>
          <w:sz w:val="32"/>
          <w:szCs w:val="32"/>
        </w:rPr>
        <w:t>19014.28万元，</w:t>
      </w:r>
      <w:r>
        <w:rPr>
          <w:rFonts w:ascii="仿宋" w:hAnsi="仿宋" w:eastAsia="仿宋" w:cs="Courier New"/>
          <w:sz w:val="32"/>
          <w:szCs w:val="32"/>
        </w:rPr>
        <w:t>包括</w:t>
      </w:r>
      <w:r>
        <w:rPr>
          <w:rFonts w:hint="eastAsia" w:ascii="仿宋" w:hAnsi="仿宋" w:eastAsia="仿宋" w:cs="Courier New"/>
          <w:sz w:val="32"/>
          <w:szCs w:val="32"/>
        </w:rPr>
        <w:t>保障机关人员工资发放、保障机关机构正常运转及正常履职费用、老干部体检费用以及完成预算年度主要工作任务需要的其他费用等。比2017年减少44241.73万元，减少69.94%。减少部分主要是专项经费减少。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Courier New"/>
          <w:sz w:val="32"/>
          <w:szCs w:val="32"/>
        </w:rPr>
      </w:pPr>
      <w:r>
        <w:rPr>
          <w:rFonts w:hint="eastAsia" w:ascii="仿宋" w:hAnsi="仿宋" w:eastAsia="仿宋" w:cs="Courier New"/>
          <w:b/>
          <w:sz w:val="32"/>
          <w:szCs w:val="32"/>
        </w:rPr>
        <w:t>十一、政府采购支出情况说明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政府采购支出总额0万元，其中：政府采购货物支出0万元、政府采购工程支出0万元、政府采购服务支出0万元。授予中小企业合同金额0万元，其中：授予小微企业合同金额0万元。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Courier New"/>
          <w:sz w:val="32"/>
          <w:szCs w:val="32"/>
        </w:rPr>
      </w:pPr>
      <w:r>
        <w:rPr>
          <w:rFonts w:hint="eastAsia" w:ascii="仿宋" w:hAnsi="仿宋" w:eastAsia="仿宋" w:cs="Courier New"/>
          <w:b/>
          <w:sz w:val="32"/>
          <w:szCs w:val="32"/>
        </w:rPr>
        <w:t>十二、国有资产占用情况说明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我单位共有车辆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辆，其中：一般公务用车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辆、一般执法执勤用车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辆、特种用途车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辆。单价50万元以上通用设备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套，单位价值100万元以上专用设备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套。</w:t>
      </w:r>
    </w:p>
    <w:p>
      <w:pPr>
        <w:pStyle w:val="1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 w:cs="黑体"/>
          <w:b/>
          <w:sz w:val="36"/>
          <w:szCs w:val="36"/>
        </w:rPr>
        <w:t>第三部分、</w:t>
      </w:r>
      <w:r>
        <w:rPr>
          <w:rFonts w:hint="eastAsia" w:ascii="仿宋" w:hAnsi="仿宋" w:eastAsia="仿宋"/>
          <w:b/>
          <w:sz w:val="36"/>
          <w:szCs w:val="36"/>
        </w:rPr>
        <w:t>名词解释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（一）财政拨款收入：是指市县财政当年拨付的资金。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（二）事业收入：是指事业单位开展专业活动及辅助活动所取得的收入。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（三）、其他收入：是指部门取得的除“财政拨款”、“事业收入”、“事业单位经营收入”等以外的收入。 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（六）基本支出：是指为保障机构正常运转、完成日常工作任务所必需的开支，其内容包括人员经费和日常公用经费两部分。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（七）项目支出：是指在基本支出之外，为完成特定的行政工作任务或事业发展目标所发生的支出。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行政运行（项）：是指为保障局各行政机构正常运转、完成日常工作任务安排的支出。2、一般行政管理事务（项）：是指局机关及所属二级单位的项目支出。3、机关服务（项）：是指为保障局各行政机构正常运转、完成日常工作任务安排的支出。2、一般行政管理事务（项）：是指局机关及所属二级单位的项目支出。3、机关服务（项）：是指为局机关提供后勤保障服务的机关服务局的支出。4、事业运行（项）：是指事业单位用于保障机构正常运转的基本支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（九）“三公”经费：是指纳入县财政预算管理，部门使用财政拨款安排的因公出国（境）费、公务用车购</w:t>
      </w:r>
      <w:r>
        <w:rPr>
          <w:rFonts w:hint="eastAsia" w:ascii="仿宋_GB2312" w:hAnsi="仿宋_GB2312" w:eastAsia="仿宋_GB2312" w:cs="仿宋_GB2312"/>
          <w:sz w:val="32"/>
          <w:szCs w:val="32"/>
        </w:rPr>
        <w:t>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/>
          <w:color w:val="333333"/>
          <w:kern w:val="0"/>
          <w:sz w:val="36"/>
          <w:szCs w:val="36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b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333333"/>
          <w:kern w:val="0"/>
          <w:sz w:val="36"/>
          <w:szCs w:val="36"/>
        </w:rPr>
        <w:t>附件：</w:t>
      </w:r>
    </w:p>
    <w:p>
      <w:pPr>
        <w:widowControl/>
        <w:spacing w:line="360" w:lineRule="auto"/>
        <w:ind w:firstLine="885" w:firstLineChars="245"/>
        <w:jc w:val="left"/>
        <w:rPr>
          <w:rFonts w:ascii="仿宋" w:hAnsi="仿宋" w:eastAsia="仿宋" w:cs="仿宋"/>
          <w:b/>
          <w:color w:val="333333"/>
          <w:sz w:val="36"/>
          <w:szCs w:val="36"/>
        </w:rPr>
      </w:pPr>
      <w:r>
        <w:rPr>
          <w:rFonts w:hint="eastAsia" w:ascii="仿宋" w:hAnsi="仿宋" w:eastAsia="仿宋" w:cs="仿宋"/>
          <w:b/>
          <w:color w:val="333333"/>
          <w:kern w:val="0"/>
          <w:sz w:val="36"/>
          <w:szCs w:val="36"/>
        </w:rPr>
        <w:t>罗山县人社局2018年度部门决算报表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cs="黑体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详见附表：</w:t>
      </w:r>
    </w:p>
    <w:p>
      <w:pPr>
        <w:jc w:val="left"/>
        <w:rPr>
          <w:rFonts w:cs="黑体" w:asciiTheme="minorEastAsia" w:hAnsiTheme="minorEastAsia" w:eastAsiaTheme="minorEastAsia"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sz w:val="32"/>
          <w:szCs w:val="32"/>
        </w:rPr>
        <w:t>说明：表中单元格数据为空时，表示该单元格数据为零；整张表数据为空时，表示部门该表中所有数据均为零，当年无表中相关收支。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3680" w:firstLineChars="1150"/>
        <w:jc w:val="both"/>
        <w:rPr>
          <w:rFonts w:ascii="仿宋" w:hAnsi="仿宋" w:eastAsia="仿宋" w:cs="Courier New"/>
          <w:kern w:val="2"/>
        </w:rPr>
      </w:pPr>
    </w:p>
    <w:p>
      <w:pPr>
        <w:pStyle w:val="2"/>
        <w:kinsoku w:val="0"/>
        <w:overflowPunct w:val="0"/>
        <w:snapToGrid w:val="0"/>
        <w:spacing w:line="360" w:lineRule="auto"/>
        <w:ind w:left="0" w:firstLine="3680" w:firstLineChars="1150"/>
        <w:jc w:val="both"/>
        <w:rPr>
          <w:rFonts w:ascii="仿宋" w:hAnsi="仿宋" w:eastAsia="仿宋" w:cs="Courier New"/>
          <w:kern w:val="2"/>
        </w:rPr>
      </w:pPr>
    </w:p>
    <w:p>
      <w:pPr>
        <w:pStyle w:val="2"/>
        <w:kinsoku w:val="0"/>
        <w:overflowPunct w:val="0"/>
        <w:snapToGrid w:val="0"/>
        <w:spacing w:line="360" w:lineRule="auto"/>
        <w:ind w:left="0" w:firstLine="3680" w:firstLineChars="1150"/>
        <w:jc w:val="both"/>
        <w:rPr>
          <w:rFonts w:ascii="仿宋" w:hAnsi="仿宋" w:eastAsia="仿宋" w:cs="Courier New"/>
          <w:kern w:val="2"/>
        </w:rPr>
      </w:pPr>
      <w:r>
        <w:rPr>
          <w:rFonts w:hint="eastAsia" w:ascii="仿宋" w:hAnsi="仿宋" w:eastAsia="仿宋" w:cs="Courier New"/>
          <w:kern w:val="2"/>
        </w:rPr>
        <w:t>中共罗山县人社局</w:t>
      </w:r>
    </w:p>
    <w:p>
      <w:pPr>
        <w:pStyle w:val="2"/>
        <w:kinsoku w:val="0"/>
        <w:overflowPunct w:val="0"/>
        <w:snapToGrid w:val="0"/>
        <w:spacing w:line="360" w:lineRule="auto"/>
        <w:ind w:firstLine="3520" w:firstLineChars="1100"/>
        <w:jc w:val="both"/>
        <w:rPr>
          <w:rFonts w:ascii="仿宋" w:hAnsi="仿宋" w:eastAsia="仿宋" w:cs="Courier New"/>
          <w:kern w:val="2"/>
        </w:rPr>
      </w:pPr>
      <w:r>
        <w:rPr>
          <w:rFonts w:ascii="仿宋" w:hAnsi="仿宋" w:eastAsia="仿宋" w:cs="Courier New"/>
          <w:kern w:val="2"/>
        </w:rPr>
        <w:t>201</w:t>
      </w:r>
      <w:r>
        <w:rPr>
          <w:rFonts w:hint="eastAsia" w:ascii="仿宋" w:hAnsi="仿宋" w:eastAsia="仿宋" w:cs="Courier New"/>
          <w:kern w:val="2"/>
        </w:rPr>
        <w:t>9</w:t>
      </w:r>
      <w:r>
        <w:rPr>
          <w:rFonts w:ascii="仿宋" w:hAnsi="仿宋" w:eastAsia="仿宋" w:cs="Courier New"/>
          <w:kern w:val="2"/>
        </w:rPr>
        <w:t>年</w:t>
      </w:r>
      <w:r>
        <w:rPr>
          <w:rFonts w:hint="eastAsia" w:ascii="仿宋" w:hAnsi="仿宋" w:eastAsia="仿宋" w:cs="Courier New"/>
          <w:kern w:val="2"/>
        </w:rPr>
        <w:t>9</w:t>
      </w:r>
      <w:r>
        <w:rPr>
          <w:rFonts w:ascii="仿宋" w:hAnsi="仿宋" w:eastAsia="仿宋" w:cs="Courier New"/>
          <w:kern w:val="2"/>
        </w:rPr>
        <w:t>月</w:t>
      </w:r>
      <w:r>
        <w:rPr>
          <w:rFonts w:hint="eastAsia" w:ascii="仿宋" w:hAnsi="仿宋" w:eastAsia="仿宋" w:cs="Courier New"/>
          <w:kern w:val="2"/>
        </w:rPr>
        <w:t>12</w:t>
      </w:r>
      <w:r>
        <w:rPr>
          <w:rFonts w:ascii="仿宋" w:hAnsi="仿宋" w:eastAsia="仿宋" w:cs="Courier New"/>
          <w:kern w:val="2"/>
        </w:rPr>
        <w:t>日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57015"/>
    </w:sdtPr>
    <w:sdtContent>
      <w:sdt>
        <w:sdtPr>
          <w:id w:val="171357217"/>
        </w:sdtPr>
        <w:sdtContent>
          <w:p>
            <w:pPr>
              <w:pStyle w:val="4"/>
              <w:ind w:firstLine="360"/>
              <w:jc w:val="center"/>
            </w:pPr>
            <w:r>
              <w:rPr>
                <w:b/>
                <w:sz w:val="30"/>
                <w:szCs w:val="30"/>
              </w:rPr>
              <w:fldChar w:fldCharType="begin"/>
            </w:r>
            <w:r>
              <w:rPr>
                <w:b/>
                <w:sz w:val="30"/>
                <w:szCs w:val="30"/>
              </w:rPr>
              <w:instrText xml:space="preserve">PAGE</w:instrText>
            </w:r>
            <w:r>
              <w:rPr>
                <w:b/>
                <w:sz w:val="30"/>
                <w:szCs w:val="30"/>
              </w:rPr>
              <w:fldChar w:fldCharType="separate"/>
            </w:r>
            <w:r>
              <w:rPr>
                <w:b/>
                <w:sz w:val="30"/>
                <w:szCs w:val="30"/>
              </w:rPr>
              <w:t>10</w:t>
            </w:r>
            <w:r>
              <w:rPr>
                <w:b/>
                <w:sz w:val="30"/>
                <w:szCs w:val="30"/>
              </w:rPr>
              <w:fldChar w:fldCharType="end"/>
            </w:r>
            <w:r>
              <w:rPr>
                <w:sz w:val="30"/>
                <w:szCs w:val="30"/>
                <w:lang w:val="zh-CN"/>
              </w:rPr>
              <w:t xml:space="preserve"> / </w:t>
            </w:r>
            <w:r>
              <w:rPr>
                <w:b/>
                <w:sz w:val="30"/>
                <w:szCs w:val="30"/>
              </w:rPr>
              <w:fldChar w:fldCharType="begin"/>
            </w:r>
            <w:r>
              <w:rPr>
                <w:b/>
                <w:sz w:val="30"/>
                <w:szCs w:val="30"/>
              </w:rPr>
              <w:instrText xml:space="preserve">NUMPAGES</w:instrText>
            </w:r>
            <w:r>
              <w:rPr>
                <w:b/>
                <w:sz w:val="30"/>
                <w:szCs w:val="30"/>
              </w:rPr>
              <w:fldChar w:fldCharType="separate"/>
            </w:r>
            <w:r>
              <w:rPr>
                <w:b/>
                <w:sz w:val="30"/>
                <w:szCs w:val="30"/>
              </w:rPr>
              <w:t>10</w:t>
            </w:r>
            <w:r>
              <w:rPr>
                <w:b/>
                <w:sz w:val="30"/>
                <w:szCs w:val="30"/>
              </w:rPr>
              <w:fldChar w:fldCharType="end"/>
            </w:r>
          </w:p>
        </w:sdtContent>
      </w:sdt>
    </w:sdtContent>
  </w:sdt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1F041E"/>
    <w:multiLevelType w:val="singleLevel"/>
    <w:tmpl w:val="C81F041E"/>
    <w:lvl w:ilvl="0" w:tentative="0">
      <w:start w:val="2"/>
      <w:numFmt w:val="chineseCounting"/>
      <w:suff w:val="nothing"/>
      <w:lvlText w:val="第%1部分、"/>
      <w:lvlJc w:val="left"/>
      <w:rPr>
        <w:rFonts w:hint="eastAsia"/>
      </w:rPr>
    </w:lvl>
  </w:abstractNum>
  <w:abstractNum w:abstractNumId="1">
    <w:nsid w:val="E03476C7"/>
    <w:multiLevelType w:val="singleLevel"/>
    <w:tmpl w:val="E03476C7"/>
    <w:lvl w:ilvl="0" w:tentative="0">
      <w:start w:val="2"/>
      <w:numFmt w:val="decimal"/>
      <w:suff w:val="nothing"/>
      <w:lvlText w:val="%1．"/>
      <w:lvlJc w:val="left"/>
      <w:rPr>
        <w:rFonts w:hint="default"/>
        <w:b/>
        <w:bCs/>
      </w:rPr>
    </w:lvl>
  </w:abstractNum>
  <w:abstractNum w:abstractNumId="2">
    <w:nsid w:val="2BD616CE"/>
    <w:multiLevelType w:val="singleLevel"/>
    <w:tmpl w:val="2BD616CE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BEF652C"/>
    <w:multiLevelType w:val="multilevel"/>
    <w:tmpl w:val="4BEF652C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971DBDD"/>
    <w:multiLevelType w:val="singleLevel"/>
    <w:tmpl w:val="5971DBD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EB"/>
    <w:rsid w:val="000306DF"/>
    <w:rsid w:val="00043AC9"/>
    <w:rsid w:val="000639DC"/>
    <w:rsid w:val="00074900"/>
    <w:rsid w:val="000A5B64"/>
    <w:rsid w:val="000B17DC"/>
    <w:rsid w:val="000C645D"/>
    <w:rsid w:val="001316DD"/>
    <w:rsid w:val="00156DA2"/>
    <w:rsid w:val="00186FD1"/>
    <w:rsid w:val="001C6DB3"/>
    <w:rsid w:val="00237B55"/>
    <w:rsid w:val="0028088A"/>
    <w:rsid w:val="002A0729"/>
    <w:rsid w:val="002A2458"/>
    <w:rsid w:val="002A70E8"/>
    <w:rsid w:val="002C6F7B"/>
    <w:rsid w:val="00330B01"/>
    <w:rsid w:val="00341DBF"/>
    <w:rsid w:val="003619C1"/>
    <w:rsid w:val="00381A3E"/>
    <w:rsid w:val="003829C0"/>
    <w:rsid w:val="00384C5B"/>
    <w:rsid w:val="003A31E8"/>
    <w:rsid w:val="003B5F76"/>
    <w:rsid w:val="00407B67"/>
    <w:rsid w:val="0041396C"/>
    <w:rsid w:val="004155FF"/>
    <w:rsid w:val="0042569D"/>
    <w:rsid w:val="0046096B"/>
    <w:rsid w:val="004B126B"/>
    <w:rsid w:val="004C37A9"/>
    <w:rsid w:val="00521991"/>
    <w:rsid w:val="00530D30"/>
    <w:rsid w:val="00531099"/>
    <w:rsid w:val="0055595C"/>
    <w:rsid w:val="00555D14"/>
    <w:rsid w:val="00582B71"/>
    <w:rsid w:val="005B3BAA"/>
    <w:rsid w:val="005E15CD"/>
    <w:rsid w:val="005F3333"/>
    <w:rsid w:val="00607366"/>
    <w:rsid w:val="006825CB"/>
    <w:rsid w:val="00697F6E"/>
    <w:rsid w:val="006B2559"/>
    <w:rsid w:val="006D54F2"/>
    <w:rsid w:val="006F1CDB"/>
    <w:rsid w:val="007177BF"/>
    <w:rsid w:val="00725A66"/>
    <w:rsid w:val="00736324"/>
    <w:rsid w:val="00737264"/>
    <w:rsid w:val="00742B58"/>
    <w:rsid w:val="0075218D"/>
    <w:rsid w:val="007A5834"/>
    <w:rsid w:val="007A6C78"/>
    <w:rsid w:val="007C32C5"/>
    <w:rsid w:val="007D2FEC"/>
    <w:rsid w:val="007E2FBC"/>
    <w:rsid w:val="007E67F3"/>
    <w:rsid w:val="00806425"/>
    <w:rsid w:val="008E73D0"/>
    <w:rsid w:val="009155BC"/>
    <w:rsid w:val="009B70B6"/>
    <w:rsid w:val="009E7954"/>
    <w:rsid w:val="00A443F0"/>
    <w:rsid w:val="00A50A35"/>
    <w:rsid w:val="00A56405"/>
    <w:rsid w:val="00A63854"/>
    <w:rsid w:val="00A72950"/>
    <w:rsid w:val="00A84604"/>
    <w:rsid w:val="00AA019A"/>
    <w:rsid w:val="00AA1305"/>
    <w:rsid w:val="00AA1625"/>
    <w:rsid w:val="00AA4699"/>
    <w:rsid w:val="00AD0338"/>
    <w:rsid w:val="00AE0711"/>
    <w:rsid w:val="00AF6DBC"/>
    <w:rsid w:val="00B2477A"/>
    <w:rsid w:val="00B41ECE"/>
    <w:rsid w:val="00B96935"/>
    <w:rsid w:val="00BB4CCF"/>
    <w:rsid w:val="00BD2F93"/>
    <w:rsid w:val="00BE15FC"/>
    <w:rsid w:val="00BE3E98"/>
    <w:rsid w:val="00C000DD"/>
    <w:rsid w:val="00C176A1"/>
    <w:rsid w:val="00C60467"/>
    <w:rsid w:val="00CA3713"/>
    <w:rsid w:val="00CB2E87"/>
    <w:rsid w:val="00CD2ED0"/>
    <w:rsid w:val="00D31C85"/>
    <w:rsid w:val="00D71165"/>
    <w:rsid w:val="00DA148B"/>
    <w:rsid w:val="00DA2A19"/>
    <w:rsid w:val="00DA4F84"/>
    <w:rsid w:val="00DC7341"/>
    <w:rsid w:val="00DD0002"/>
    <w:rsid w:val="00E34D5D"/>
    <w:rsid w:val="00E55CE6"/>
    <w:rsid w:val="00E7121D"/>
    <w:rsid w:val="00E7768D"/>
    <w:rsid w:val="00E84479"/>
    <w:rsid w:val="00F04624"/>
    <w:rsid w:val="00F5363A"/>
    <w:rsid w:val="00F80215"/>
    <w:rsid w:val="00FA601E"/>
    <w:rsid w:val="00FB3D20"/>
    <w:rsid w:val="00FC21EB"/>
    <w:rsid w:val="00FD1E2D"/>
    <w:rsid w:val="00FD4176"/>
    <w:rsid w:val="00FE71B6"/>
    <w:rsid w:val="02550BA8"/>
    <w:rsid w:val="04746736"/>
    <w:rsid w:val="04E818D8"/>
    <w:rsid w:val="065F2C5E"/>
    <w:rsid w:val="06BB405B"/>
    <w:rsid w:val="078A22DA"/>
    <w:rsid w:val="07C0535F"/>
    <w:rsid w:val="07EB7118"/>
    <w:rsid w:val="080C3651"/>
    <w:rsid w:val="084E194C"/>
    <w:rsid w:val="0A060911"/>
    <w:rsid w:val="0B1F3EF6"/>
    <w:rsid w:val="0BA74C64"/>
    <w:rsid w:val="0BF1015E"/>
    <w:rsid w:val="0D3116F6"/>
    <w:rsid w:val="0DD91E1C"/>
    <w:rsid w:val="0E070C48"/>
    <w:rsid w:val="0E883928"/>
    <w:rsid w:val="0F7B6A0F"/>
    <w:rsid w:val="10F111A0"/>
    <w:rsid w:val="11256655"/>
    <w:rsid w:val="11F466E6"/>
    <w:rsid w:val="12C44C3C"/>
    <w:rsid w:val="12FB7F80"/>
    <w:rsid w:val="153C3480"/>
    <w:rsid w:val="15F1584F"/>
    <w:rsid w:val="167746A9"/>
    <w:rsid w:val="16E058A4"/>
    <w:rsid w:val="1972651A"/>
    <w:rsid w:val="1BC2593E"/>
    <w:rsid w:val="1D62378A"/>
    <w:rsid w:val="1DA77869"/>
    <w:rsid w:val="1DAC7914"/>
    <w:rsid w:val="1E3D1FB7"/>
    <w:rsid w:val="1EAF7E5B"/>
    <w:rsid w:val="1EF06F32"/>
    <w:rsid w:val="1F725776"/>
    <w:rsid w:val="21147364"/>
    <w:rsid w:val="217200BF"/>
    <w:rsid w:val="236D66C2"/>
    <w:rsid w:val="25257A74"/>
    <w:rsid w:val="26175394"/>
    <w:rsid w:val="277469CE"/>
    <w:rsid w:val="27E35DEB"/>
    <w:rsid w:val="29A11A21"/>
    <w:rsid w:val="29D33597"/>
    <w:rsid w:val="29E92167"/>
    <w:rsid w:val="2ADF5303"/>
    <w:rsid w:val="2B05696F"/>
    <w:rsid w:val="2B5005CB"/>
    <w:rsid w:val="2DFE2EE8"/>
    <w:rsid w:val="2E770AEA"/>
    <w:rsid w:val="2ED67173"/>
    <w:rsid w:val="2EF238CE"/>
    <w:rsid w:val="304358B6"/>
    <w:rsid w:val="30DC52BE"/>
    <w:rsid w:val="313F4D60"/>
    <w:rsid w:val="31772F02"/>
    <w:rsid w:val="317F11A2"/>
    <w:rsid w:val="319855EA"/>
    <w:rsid w:val="33127FE9"/>
    <w:rsid w:val="35346E89"/>
    <w:rsid w:val="36E5502E"/>
    <w:rsid w:val="377D43F9"/>
    <w:rsid w:val="378C7978"/>
    <w:rsid w:val="38996B93"/>
    <w:rsid w:val="39AE4CD3"/>
    <w:rsid w:val="3C264247"/>
    <w:rsid w:val="3D0424E1"/>
    <w:rsid w:val="3E835514"/>
    <w:rsid w:val="3EEA77E4"/>
    <w:rsid w:val="3FD82AF0"/>
    <w:rsid w:val="404B299F"/>
    <w:rsid w:val="405C6FCC"/>
    <w:rsid w:val="42AF21A4"/>
    <w:rsid w:val="43786676"/>
    <w:rsid w:val="460445F2"/>
    <w:rsid w:val="4688143E"/>
    <w:rsid w:val="47354C6C"/>
    <w:rsid w:val="48726BB2"/>
    <w:rsid w:val="49A307EB"/>
    <w:rsid w:val="4CE74B4D"/>
    <w:rsid w:val="4CF344C7"/>
    <w:rsid w:val="4DCB160A"/>
    <w:rsid w:val="4DD5460F"/>
    <w:rsid w:val="4FD20093"/>
    <w:rsid w:val="50237DA7"/>
    <w:rsid w:val="50433A7B"/>
    <w:rsid w:val="514D52AA"/>
    <w:rsid w:val="51B063FD"/>
    <w:rsid w:val="51E61229"/>
    <w:rsid w:val="522C310C"/>
    <w:rsid w:val="5279590E"/>
    <w:rsid w:val="53F76B87"/>
    <w:rsid w:val="55246644"/>
    <w:rsid w:val="560266A1"/>
    <w:rsid w:val="570911DC"/>
    <w:rsid w:val="57F52567"/>
    <w:rsid w:val="5AA067CF"/>
    <w:rsid w:val="5AB373A1"/>
    <w:rsid w:val="5AEB5C28"/>
    <w:rsid w:val="5BC50478"/>
    <w:rsid w:val="5BEE61D3"/>
    <w:rsid w:val="5C382BBA"/>
    <w:rsid w:val="5D506AF8"/>
    <w:rsid w:val="5DB95E97"/>
    <w:rsid w:val="5E2C15D2"/>
    <w:rsid w:val="5F7D4742"/>
    <w:rsid w:val="5F9F346B"/>
    <w:rsid w:val="5FA24D92"/>
    <w:rsid w:val="612D1A15"/>
    <w:rsid w:val="61D25B47"/>
    <w:rsid w:val="62B46422"/>
    <w:rsid w:val="63680EBC"/>
    <w:rsid w:val="64F35C35"/>
    <w:rsid w:val="652F3D8A"/>
    <w:rsid w:val="656C6B94"/>
    <w:rsid w:val="65B05708"/>
    <w:rsid w:val="661F5244"/>
    <w:rsid w:val="66CF3E3A"/>
    <w:rsid w:val="66D41CF6"/>
    <w:rsid w:val="68133FB7"/>
    <w:rsid w:val="68371743"/>
    <w:rsid w:val="68892957"/>
    <w:rsid w:val="68E17D9A"/>
    <w:rsid w:val="69590C85"/>
    <w:rsid w:val="6AA0112D"/>
    <w:rsid w:val="6B1C26EE"/>
    <w:rsid w:val="6B3E6ABA"/>
    <w:rsid w:val="6BAD6DE6"/>
    <w:rsid w:val="6BD8525A"/>
    <w:rsid w:val="6D6224AF"/>
    <w:rsid w:val="6E6E41A5"/>
    <w:rsid w:val="6F5D3640"/>
    <w:rsid w:val="706C4438"/>
    <w:rsid w:val="71027236"/>
    <w:rsid w:val="717168EE"/>
    <w:rsid w:val="727D6DA2"/>
    <w:rsid w:val="74132933"/>
    <w:rsid w:val="743E7985"/>
    <w:rsid w:val="747641C9"/>
    <w:rsid w:val="74A34C7D"/>
    <w:rsid w:val="75AB53E3"/>
    <w:rsid w:val="76A23D1C"/>
    <w:rsid w:val="772F0FB6"/>
    <w:rsid w:val="7767616D"/>
    <w:rsid w:val="78422F9E"/>
    <w:rsid w:val="78DD19BE"/>
    <w:rsid w:val="79A549C7"/>
    <w:rsid w:val="79DC3357"/>
    <w:rsid w:val="7A75717B"/>
    <w:rsid w:val="7AF80FF6"/>
    <w:rsid w:val="7C5B264B"/>
    <w:rsid w:val="7C74672D"/>
    <w:rsid w:val="7E61660B"/>
    <w:rsid w:val="7EB90760"/>
    <w:rsid w:val="7ED555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autoSpaceDE w:val="0"/>
      <w:autoSpaceDN w:val="0"/>
      <w:adjustRightInd w:val="0"/>
      <w:ind w:left="761"/>
      <w:jc w:val="left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600" w:lineRule="exact"/>
      <w:ind w:firstLine="200" w:firstLineChars="20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仿宋_GB2312"/>
      <w:kern w:val="0"/>
      <w:sz w:val="32"/>
      <w:szCs w:val="32"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character" w:customStyle="1" w:styleId="11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425D7F-C9F9-415C-B70C-044DFF569E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632</Words>
  <Characters>3604</Characters>
  <Lines>30</Lines>
  <Paragraphs>8</Paragraphs>
  <TotalTime>7</TotalTime>
  <ScaleCrop>false</ScaleCrop>
  <LinksUpToDate>false</LinksUpToDate>
  <CharactersWithSpaces>4228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2018-09-18T08:02:00Z</dcterms:created>
  <dc:creator>Administrator</dc:creator>
  <cp:lastModifiedBy>lenovo</cp:lastModifiedBy>
  <cp:lastPrinted>2019-09-12T09:39:00Z</cp:lastPrinted>
  <dcterms:modified xsi:type="dcterms:W3CDTF">2021-06-21T07:54:09Z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A6E31CECEE24459595D2E89094C217B2</vt:lpwstr>
  </property>
</Properties>
</file>