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jc w:val="center"/>
        <w:textAlignment w:val="baseline"/>
        <w:rPr>
          <w:rStyle w:val="11"/>
          <w:rFonts w:ascii="黑体" w:hAnsi="黑体" w:eastAsia="黑体"/>
          <w:color w:val="000000"/>
          <w:kern w:val="2"/>
          <w:sz w:val="52"/>
          <w:szCs w:val="52"/>
          <w:lang w:val="en-US" w:eastAsia="zh-CN" w:bidi="ar-SA"/>
        </w:rPr>
      </w:pPr>
      <w:r>
        <w:rPr>
          <w:rStyle w:val="11"/>
          <w:rFonts w:ascii="黑体" w:hAnsi="黑体" w:eastAsia="黑体"/>
          <w:color w:val="000000"/>
          <w:kern w:val="2"/>
          <w:sz w:val="52"/>
          <w:szCs w:val="52"/>
          <w:lang w:val="en-US" w:eastAsia="zh-CN" w:bidi="ar-SA"/>
        </w:rPr>
        <w:t>2018年度</w:t>
      </w:r>
    </w:p>
    <w:p>
      <w:pPr>
        <w:jc w:val="center"/>
        <w:textAlignment w:val="baseline"/>
        <w:rPr>
          <w:rStyle w:val="11"/>
          <w:rFonts w:ascii="黑体" w:hAnsi="黑体" w:eastAsia="黑体"/>
          <w:color w:val="000000"/>
          <w:kern w:val="2"/>
          <w:sz w:val="52"/>
          <w:szCs w:val="52"/>
          <w:lang w:val="en-US" w:eastAsia="zh-CN" w:bidi="ar-SA"/>
        </w:rPr>
      </w:pPr>
      <w:r>
        <w:rPr>
          <w:rStyle w:val="11"/>
          <w:rFonts w:ascii="黑体" w:hAnsi="黑体" w:eastAsia="黑体"/>
          <w:color w:val="000000"/>
          <w:kern w:val="2"/>
          <w:sz w:val="52"/>
          <w:szCs w:val="52"/>
          <w:lang w:val="en-US" w:eastAsia="zh-CN" w:bidi="ar-SA"/>
        </w:rPr>
        <w:t>董寨管理局部门决算</w:t>
      </w: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32"/>
          <w:szCs w:val="32"/>
          <w:lang w:val="en-US" w:eastAsia="zh-CN" w:bidi="ar-SA"/>
        </w:rPr>
        <w:sectPr>
          <w:pgSz w:w="11906" w:h="16838"/>
          <w:pgMar w:top="1440" w:right="1531" w:bottom="1440" w:left="1587" w:header="850" w:footer="992" w:gutter="0"/>
          <w:lnNumType w:countBy="0"/>
          <w:cols w:space="720" w:num="1"/>
          <w:vAlign w:val="top"/>
          <w:docGrid w:type="lines" w:linePitch="317" w:charSpace="0"/>
        </w:sectPr>
      </w:pPr>
      <w:r>
        <w:rPr>
          <w:rStyle w:val="11"/>
          <w:rFonts w:ascii="黑体" w:hAnsi="黑体" w:eastAsia="黑体"/>
          <w:color w:val="000000"/>
          <w:kern w:val="2"/>
          <w:sz w:val="32"/>
          <w:szCs w:val="32"/>
          <w:lang w:val="en-US" w:eastAsia="zh-CN" w:bidi="ar-SA"/>
        </w:rPr>
        <w:t>二〇一九年九月</w:t>
      </w:r>
    </w:p>
    <w:p>
      <w:pPr>
        <w:jc w:val="center"/>
        <w:textAlignment w:val="baseline"/>
        <w:rPr>
          <w:rStyle w:val="11"/>
          <w:rFonts w:ascii="黑体" w:hAnsi="黑体" w:eastAsia="黑体"/>
          <w:color w:val="000000"/>
          <w:kern w:val="2"/>
          <w:sz w:val="32"/>
          <w:szCs w:val="32"/>
          <w:lang w:val="en-US" w:eastAsia="zh-CN" w:bidi="ar-SA"/>
        </w:rPr>
      </w:pPr>
      <w:r>
        <w:rPr>
          <w:rStyle w:val="11"/>
          <w:rFonts w:ascii="黑体" w:hAnsi="黑体" w:eastAsia="黑体" w:cs="黑体"/>
          <w:b/>
          <w:bCs/>
          <w:color w:val="000000"/>
          <w:kern w:val="2"/>
          <w:sz w:val="32"/>
          <w:szCs w:val="32"/>
          <w:lang w:val="en-US" w:eastAsia="zh-CN" w:bidi="ar-SA"/>
        </w:rPr>
        <w:t>目　　录</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第一部分　　董寨管理局概况</w:t>
      </w:r>
    </w:p>
    <w:p>
      <w:pPr>
        <w:numPr>
          <w:ilvl w:val="0"/>
          <w:numId w:val="1"/>
        </w:num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部门职责</w:t>
      </w:r>
    </w:p>
    <w:p>
      <w:pPr>
        <w:numPr>
          <w:ilvl w:val="0"/>
          <w:numId w:val="1"/>
        </w:num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机构设置</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第二部分　　2018年度部门决算表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一、收入支出决算总表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二、收入决算表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三、支出决算表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四、财政拨款收入支出决算总表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五、一般公共预算财政拨款支出决算表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六、一般公共预算财政拨款基本支出决算表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七、一般公共预算财政拨款“三公”经费支出决算表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八、政府性基金预算财政拨款收入支出决算表</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第三部分　　2018年度部门决算情况说明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一、收入支出决算总体情况说明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二、收入决算情况说明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三、支出决算情况说明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四、财政拨款收入支出决算总体情况说明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五、一般公共预算财政拨款支出决算情况说明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六、一般公共预算财政拨款基本支出决算情况说明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七、一般公共预算财政拨款“三公”经费支出决算情况说明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八、预算绩效情况说明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九、政府性基金预算财政拨款支出决算情况说明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十、机关运行经费支出情况说明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十一、政府采购支出情况说明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十二、国有资产占用情况说明</w:t>
      </w:r>
    </w:p>
    <w:p>
      <w:pPr>
        <w:ind w:firstLine="600" w:firstLineChars="200"/>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w:t>
      </w:r>
      <w:r>
        <w:rPr>
          <w:rStyle w:val="11"/>
          <w:rFonts w:hint="eastAsia" w:ascii="黑体" w:hAnsi="黑体" w:eastAsia="黑体"/>
          <w:color w:val="000000"/>
          <w:kern w:val="2"/>
          <w:sz w:val="30"/>
          <w:szCs w:val="30"/>
          <w:lang w:val="en-US" w:eastAsia="zh-CN" w:bidi="ar-SA"/>
        </w:rPr>
        <w:t>四</w:t>
      </w:r>
      <w:r>
        <w:rPr>
          <w:rStyle w:val="11"/>
          <w:rFonts w:ascii="黑体" w:hAnsi="黑体" w:eastAsia="黑体"/>
          <w:color w:val="000000"/>
          <w:kern w:val="2"/>
          <w:sz w:val="30"/>
          <w:szCs w:val="30"/>
          <w:lang w:val="en-US" w:eastAsia="zh-CN" w:bidi="ar-SA"/>
        </w:rPr>
        <w:t>部分　　</w:t>
      </w:r>
      <w:r>
        <w:rPr>
          <w:rStyle w:val="11"/>
          <w:rFonts w:hint="eastAsia" w:ascii="黑体" w:hAnsi="黑体" w:eastAsia="黑体"/>
          <w:color w:val="000000"/>
          <w:kern w:val="2"/>
          <w:sz w:val="30"/>
          <w:szCs w:val="30"/>
          <w:lang w:val="en-US" w:eastAsia="zh-CN" w:bidi="ar-SA"/>
        </w:rPr>
        <w:t>名词解释</w:t>
      </w:r>
    </w:p>
    <w:p>
      <w:pPr>
        <w:ind w:firstLine="600" w:firstLineChars="200"/>
        <w:jc w:val="left"/>
        <w:textAlignment w:val="baseline"/>
        <w:rPr>
          <w:rStyle w:val="11"/>
          <w:rFonts w:ascii="宋体" w:hAnsi="宋体" w:eastAsia="宋体"/>
          <w:color w:val="000000"/>
          <w:kern w:val="2"/>
          <w:sz w:val="30"/>
          <w:szCs w:val="30"/>
          <w:lang w:val="en-US" w:eastAsia="zh-CN" w:bidi="ar-SA"/>
        </w:rPr>
      </w:pPr>
    </w:p>
    <w:p>
      <w:pPr>
        <w:ind w:firstLine="640" w:firstLineChars="200"/>
        <w:jc w:val="left"/>
        <w:textAlignment w:val="baseline"/>
        <w:rPr>
          <w:rStyle w:val="11"/>
          <w:rFonts w:ascii="宋体" w:hAnsi="宋体" w:eastAsia="宋体"/>
          <w:color w:val="000000"/>
          <w:kern w:val="2"/>
          <w:sz w:val="32"/>
          <w:szCs w:val="32"/>
          <w:lang w:val="en-US" w:eastAsia="zh-CN" w:bidi="ar-SA"/>
        </w:rPr>
      </w:pPr>
    </w:p>
    <w:p>
      <w:pPr>
        <w:jc w:val="left"/>
        <w:textAlignment w:val="baseline"/>
        <w:rPr>
          <w:rStyle w:val="11"/>
          <w:rFonts w:ascii="黑体" w:hAnsi="黑体" w:eastAsia="黑体"/>
          <w:color w:val="000000"/>
          <w:kern w:val="2"/>
          <w:sz w:val="32"/>
          <w:szCs w:val="32"/>
          <w:lang w:val="en-US" w:eastAsia="zh-CN" w:bidi="ar-SA"/>
        </w:rPr>
        <w:sectPr>
          <w:pgSz w:w="11906" w:h="16838"/>
          <w:pgMar w:top="1440" w:right="1531" w:bottom="1440" w:left="1587" w:header="850" w:footer="992" w:gutter="0"/>
          <w:lnNumType w:countBy="0"/>
          <w:pgNumType w:start="1"/>
          <w:cols w:space="720" w:num="1"/>
          <w:vAlign w:val="top"/>
          <w:docGrid w:type="lines" w:linePitch="317" w:charSpace="0"/>
        </w:sect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center"/>
        <w:textAlignment w:val="baseline"/>
        <w:rPr>
          <w:rStyle w:val="11"/>
          <w:rFonts w:ascii="黑体" w:hAnsi="宋体" w:eastAsia="黑体"/>
          <w:color w:val="000000"/>
          <w:kern w:val="0"/>
          <w:sz w:val="28"/>
          <w:szCs w:val="28"/>
          <w:lang w:val="en-US" w:eastAsia="zh-CN" w:bidi="ar-SA"/>
        </w:rPr>
      </w:pPr>
      <w:r>
        <w:rPr>
          <w:rStyle w:val="11"/>
          <w:rFonts w:ascii="黑体" w:hAnsi="黑体" w:eastAsia="黑体"/>
          <w:color w:val="000000"/>
          <w:kern w:val="2"/>
          <w:sz w:val="48"/>
          <w:szCs w:val="48"/>
          <w:lang w:val="en-US" w:eastAsia="zh-CN" w:bidi="ar-SA"/>
        </w:rPr>
        <w:t>第一部分  董寨管理局概况</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sectPr>
          <w:pgSz w:w="11906" w:h="16838"/>
          <w:pgMar w:top="1440" w:right="1800" w:bottom="1440" w:left="1800" w:header="720" w:footer="720" w:gutter="0"/>
          <w:lnNumType w:countBy="0"/>
          <w:cols w:space="720" w:num="1"/>
          <w:vAlign w:val="top"/>
          <w:docGrid w:type="lines" w:linePitch="312" w:charSpace="0"/>
        </w:sectPr>
      </w:pPr>
    </w:p>
    <w:p>
      <w:pPr>
        <w:widowControl/>
        <w:ind w:firstLine="640" w:firstLineChars="200"/>
        <w:jc w:val="left"/>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一、部门</w:t>
      </w:r>
      <w:r>
        <w:rPr>
          <w:rStyle w:val="11"/>
          <w:rFonts w:ascii="黑体" w:hAnsi="黑体" w:eastAsia="黑体" w:cs="黑体"/>
          <w:bCs/>
          <w:kern w:val="2"/>
          <w:sz w:val="32"/>
          <w:szCs w:val="32"/>
          <w:lang w:val="en-US" w:eastAsia="zh-CN" w:bidi="ar-SA"/>
        </w:rPr>
        <w:t>职责</w:t>
      </w:r>
    </w:p>
    <w:p>
      <w:pPr>
        <w:pStyle w:val="25"/>
        <w:widowControl/>
        <w:topLinePunct/>
        <w:spacing w:line="544" w:lineRule="exact"/>
        <w:ind w:firstLine="600" w:firstLineChars="200"/>
        <w:textAlignment w:val="baseline"/>
        <w:rPr>
          <w:rStyle w:val="11"/>
          <w:rFonts w:ascii="仿宋" w:hAnsi="仿宋" w:eastAsia="仿宋"/>
          <w:kern w:val="2"/>
          <w:sz w:val="30"/>
          <w:szCs w:val="30"/>
          <w:lang w:val="en-US" w:eastAsia="zh-CN" w:bidi="ar-SA"/>
        </w:rPr>
      </w:pPr>
      <w:r>
        <w:rPr>
          <w:rStyle w:val="11"/>
          <w:rFonts w:ascii="仿宋" w:hAnsi="仿宋" w:eastAsia="仿宋"/>
          <w:kern w:val="2"/>
          <w:sz w:val="30"/>
          <w:szCs w:val="30"/>
          <w:lang w:val="en-US" w:eastAsia="zh-CN" w:bidi="ar-SA"/>
        </w:rPr>
        <w:t>董寨国家级自然保护区管理局前身是国有罗山董寨林场，现为独立核算的事业单位，编制110人。行政隶属于罗山县人民政府，业务上由河南省林业厅保护处及信阳市林业局领导，持有事业单位登记证书，具有独立的事业法人资格。保护区的主要职责是：</w:t>
      </w:r>
    </w:p>
    <w:p>
      <w:pPr>
        <w:pStyle w:val="25"/>
        <w:kinsoku/>
        <w:wordWrap/>
        <w:overflowPunct/>
        <w:topLinePunct/>
        <w:autoSpaceDE/>
        <w:autoSpaceDN/>
        <w:bidi w:val="0"/>
        <w:spacing w:line="240" w:lineRule="auto"/>
        <w:ind w:firstLine="320" w:firstLineChars="200"/>
        <w:textAlignment w:val="auto"/>
        <w:rPr>
          <w:rStyle w:val="11"/>
          <w:rFonts w:ascii="仿宋" w:hAnsi="仿宋" w:eastAsia="仿宋"/>
          <w:kern w:val="2"/>
          <w:sz w:val="30"/>
          <w:szCs w:val="30"/>
          <w:lang w:val="en-US" w:eastAsia="zh-CN" w:bidi="ar-SA"/>
        </w:rPr>
      </w:pPr>
      <w:r>
        <w:rPr>
          <w:rStyle w:val="11"/>
          <w:rFonts w:ascii="Verdana" w:hAnsi="Verdana" w:eastAsia="宋体"/>
          <w:i w:val="0"/>
          <w:caps w:val="0"/>
          <w:color w:val="333333"/>
          <w:kern w:val="0"/>
          <w:sz w:val="16"/>
          <w:szCs w:val="16"/>
          <w:lang w:val="en-US" w:eastAsia="zh-CN"/>
        </w:rPr>
        <w:t>  </w:t>
      </w:r>
      <w:r>
        <w:rPr>
          <w:rStyle w:val="11"/>
          <w:rFonts w:ascii="仿宋" w:hAnsi="仿宋" w:eastAsia="仿宋"/>
          <w:kern w:val="2"/>
          <w:sz w:val="30"/>
          <w:szCs w:val="30"/>
          <w:lang w:val="en-US" w:eastAsia="zh-CN" w:bidi="ar-SA"/>
        </w:rPr>
        <w:t xml:space="preserve"> 1、贯彻执行国家有关自然保护区的法律、法规和方针政策；</w:t>
      </w:r>
    </w:p>
    <w:p>
      <w:pPr>
        <w:pStyle w:val="25"/>
        <w:kinsoku/>
        <w:wordWrap/>
        <w:overflowPunct/>
        <w:topLinePunct/>
        <w:autoSpaceDE/>
        <w:autoSpaceDN/>
        <w:bidi w:val="0"/>
        <w:spacing w:line="240" w:lineRule="auto"/>
        <w:ind w:firstLine="600" w:firstLineChars="200"/>
        <w:textAlignment w:val="auto"/>
        <w:rPr>
          <w:rStyle w:val="11"/>
          <w:rFonts w:ascii="仿宋" w:hAnsi="仿宋" w:eastAsia="仿宋"/>
          <w:kern w:val="2"/>
          <w:sz w:val="30"/>
          <w:szCs w:val="30"/>
          <w:lang w:val="en-US" w:eastAsia="zh-CN" w:bidi="ar-SA"/>
        </w:rPr>
      </w:pPr>
      <w:r>
        <w:rPr>
          <w:rStyle w:val="11"/>
          <w:rFonts w:ascii="仿宋" w:hAnsi="仿宋" w:eastAsia="仿宋"/>
          <w:kern w:val="2"/>
          <w:sz w:val="30"/>
          <w:szCs w:val="30"/>
          <w:lang w:val="en-US" w:eastAsia="zh-CN" w:bidi="ar-SA"/>
        </w:rPr>
        <w:t>2、负责保护区的行政管理，制定各项管理制度，统一管理自然保护区；      3、加强自然资源和自然环境的保护，维护生态平衡，促进资源恢复与发展，组织环境监测，并科学建立档案；      4、搞好科学研究，保护和发展珍稀动植物，以主要保护对象为主，对趋于灭绝的物种有计划采取拯救措施；同时，加强国内外技术交流与合作，吸引外界科研力量，不断提高保护区的科研水平和科技协作能力；      5、加强公众宣传教育，努力提高社会公众的保护意识，逐步实现保护区建设与管理向社会化方向发展；      6、坚持“全面保护、合理开发”的原则，适当开展林业多种经营，生态旅游，增强保护区的自养能力，并带动周边区域乡村经济发展，充分发挥保护区的综合效能。</w:t>
      </w:r>
    </w:p>
    <w:p>
      <w:pPr>
        <w:widowControl/>
        <w:ind w:firstLine="640" w:firstLineChars="200"/>
        <w:jc w:val="left"/>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二、机构设置</w:t>
      </w:r>
    </w:p>
    <w:p>
      <w:pPr>
        <w:pStyle w:val="25"/>
        <w:widowControl/>
        <w:topLinePunct/>
        <w:spacing w:line="544" w:lineRule="exact"/>
        <w:ind w:firstLine="600" w:firstLineChars="200"/>
        <w:textAlignment w:val="baseline"/>
        <w:rPr>
          <w:rStyle w:val="11"/>
          <w:rFonts w:ascii="仿宋" w:hAnsi="仿宋" w:eastAsia="仿宋"/>
          <w:kern w:val="2"/>
          <w:sz w:val="30"/>
          <w:szCs w:val="30"/>
          <w:lang w:val="en-US" w:eastAsia="zh-CN" w:bidi="ar-SA"/>
        </w:rPr>
      </w:pPr>
      <w:r>
        <w:rPr>
          <w:rStyle w:val="11"/>
          <w:rFonts w:ascii="仿宋" w:hAnsi="仿宋" w:eastAsia="仿宋"/>
          <w:kern w:val="2"/>
          <w:sz w:val="30"/>
          <w:szCs w:val="30"/>
          <w:lang w:val="en-US" w:eastAsia="zh-CN" w:bidi="ar-SA"/>
        </w:rPr>
        <w:t>保护区管理局职能科室有行政办公室、保护科、科技科、计划财务科、人事科、多种经营科、教育宣传科和森林公安派出所。</w:t>
      </w:r>
      <w:r>
        <w:rPr>
          <w:rStyle w:val="11"/>
          <w:rFonts w:hint="eastAsia" w:ascii="仿宋" w:hAnsi="仿宋" w:eastAsia="仿宋"/>
          <w:kern w:val="2"/>
          <w:sz w:val="30"/>
          <w:szCs w:val="30"/>
          <w:lang w:val="en-US" w:eastAsia="zh-CN" w:bidi="ar-SA"/>
        </w:rPr>
        <w:t>下设3个二级机构，分别为科普馆、百冠长尾雉、朱鹮繁育站。</w:t>
      </w:r>
      <w:r>
        <w:rPr>
          <w:rStyle w:val="11"/>
          <w:rFonts w:ascii="仿宋" w:hAnsi="仿宋" w:eastAsia="仿宋"/>
          <w:kern w:val="2"/>
          <w:sz w:val="30"/>
          <w:szCs w:val="30"/>
          <w:lang w:val="en-US" w:eastAsia="zh-CN" w:bidi="ar-SA"/>
        </w:rPr>
        <w:t>按照有关保护法规和政策的要求，初步建立健全了劳动管理、财务管理、资源管理、职工培训管理等相关制度，与周围社区加强了联系，形成了较完善的保护管理体系，保护机构健全，保护措施得力，领导班子</w:t>
      </w:r>
      <w:bookmarkStart w:id="0" w:name="_GoBack"/>
      <w:bookmarkEnd w:id="0"/>
      <w:r>
        <w:rPr>
          <w:rStyle w:val="11"/>
          <w:rFonts w:ascii="仿宋" w:hAnsi="仿宋" w:eastAsia="仿宋"/>
          <w:kern w:val="2"/>
          <w:sz w:val="30"/>
          <w:szCs w:val="30"/>
          <w:lang w:val="en-US" w:eastAsia="zh-CN" w:bidi="ar-SA"/>
        </w:rPr>
        <w:t>团结奋进，职工政治思想稳定。</w:t>
      </w:r>
    </w:p>
    <w:p>
      <w:pPr>
        <w:pStyle w:val="2"/>
        <w:spacing w:line="386" w:lineRule="auto"/>
        <w:ind w:left="106" w:right="110" w:firstLine="640"/>
        <w:rPr>
          <w:rFonts w:hint="eastAsia"/>
        </w:rPr>
      </w:pPr>
      <w:r>
        <w:t>从决算单位构成看，罗山县</w:t>
      </w:r>
      <w:r>
        <w:rPr>
          <w:rFonts w:hint="eastAsia"/>
          <w:lang w:eastAsia="zh-CN"/>
        </w:rPr>
        <w:t>董寨国家级自然保护区管理局</w:t>
      </w:r>
      <w:r>
        <w:t>部门决算包括： 本级决算、所属</w:t>
      </w:r>
      <w:r>
        <w:rPr>
          <w:rFonts w:hint="eastAsia"/>
          <w:lang w:eastAsia="zh-CN"/>
        </w:rPr>
        <w:t>二级机构</w:t>
      </w:r>
      <w:r>
        <w:t>决算</w:t>
      </w:r>
      <w:r>
        <w:rPr>
          <w:rFonts w:hint="eastAsia"/>
          <w:lang w:eastAsia="zh-CN"/>
        </w:rPr>
        <w:t>。</w:t>
      </w:r>
      <w:r>
        <w:rPr>
          <w:rFonts w:hint="eastAsia"/>
          <w:lang w:val="en-US" w:eastAsia="zh-CN"/>
        </w:rPr>
        <w:t>本决算为汇总决算。</w:t>
      </w:r>
      <w:r>
        <w:t xml:space="preserve"> </w:t>
      </w:r>
    </w:p>
    <w:p>
      <w:pPr>
        <w:pStyle w:val="2"/>
        <w:spacing w:line="386" w:lineRule="auto"/>
        <w:ind w:left="106" w:right="110" w:firstLine="640"/>
        <w:rPr>
          <w:rStyle w:val="11"/>
          <w:rFonts w:ascii="仿宋" w:hAnsi="仿宋" w:eastAsia="仿宋"/>
          <w:kern w:val="2"/>
          <w:sz w:val="30"/>
          <w:szCs w:val="30"/>
          <w:lang w:val="en-US" w:eastAsia="zh-CN" w:bidi="ar-SA"/>
        </w:rPr>
      </w:pPr>
      <w:r>
        <w:t>纳入本部门 201</w:t>
      </w:r>
      <w:r>
        <w:rPr>
          <w:rFonts w:hint="eastAsia"/>
          <w:lang w:val="en-US" w:eastAsia="zh-CN"/>
        </w:rPr>
        <w:t>8</w:t>
      </w:r>
      <w:r>
        <w:t>年度部门决算编制范围的</w:t>
      </w:r>
      <w:r>
        <w:rPr>
          <w:rFonts w:hint="eastAsia"/>
          <w:lang w:eastAsia="zh-CN"/>
        </w:rPr>
        <w:t>二级机构</w:t>
      </w:r>
      <w:r>
        <w:t xml:space="preserve">共 </w:t>
      </w:r>
      <w:r>
        <w:rPr>
          <w:rFonts w:hint="eastAsia"/>
          <w:lang w:val="en-US" w:eastAsia="zh-CN"/>
        </w:rPr>
        <w:t>4</w:t>
      </w:r>
      <w:r>
        <w:rPr>
          <w:rFonts w:hint="eastAsia"/>
        </w:rPr>
        <w:t>个,其中二级</w:t>
      </w:r>
      <w:r>
        <w:rPr>
          <w:rFonts w:hint="eastAsia"/>
          <w:lang w:eastAsia="zh-CN"/>
        </w:rPr>
        <w:t>机构</w:t>
      </w:r>
      <w:r>
        <w:rPr>
          <w:rFonts w:hint="eastAsia"/>
          <w:lang w:val="en-US" w:eastAsia="zh-CN"/>
        </w:rPr>
        <w:t>3</w:t>
      </w:r>
      <w:r>
        <w:rPr>
          <w:rFonts w:hint="eastAsia"/>
        </w:rPr>
        <w:t>个,具体是:</w:t>
      </w:r>
      <w:r>
        <w:rPr>
          <w:rStyle w:val="11"/>
          <w:rFonts w:hint="eastAsia" w:ascii="仿宋" w:hAnsi="仿宋" w:eastAsia="仿宋"/>
          <w:kern w:val="2"/>
          <w:sz w:val="30"/>
          <w:szCs w:val="30"/>
          <w:lang w:val="en-US" w:eastAsia="zh-CN" w:bidi="ar-SA"/>
        </w:rPr>
        <w:t>科普馆、百冠长尾雉、朱鹮繁育站</w:t>
      </w:r>
      <w:r>
        <w:rPr>
          <w:rStyle w:val="11"/>
          <w:rFonts w:hint="eastAsia"/>
          <w:kern w:val="2"/>
          <w:sz w:val="30"/>
          <w:szCs w:val="30"/>
          <w:lang w:val="en-US" w:eastAsia="zh-CN" w:bidi="ar-SA"/>
        </w:rPr>
        <w:t>。</w:t>
      </w:r>
    </w:p>
    <w:p>
      <w:pPr>
        <w:pStyle w:val="25"/>
        <w:widowControl/>
        <w:topLinePunct/>
        <w:spacing w:line="544" w:lineRule="exact"/>
        <w:ind w:firstLine="600" w:firstLineChars="200"/>
        <w:textAlignment w:val="baseline"/>
        <w:rPr>
          <w:rStyle w:val="11"/>
          <w:rFonts w:ascii="仿宋" w:hAnsi="仿宋" w:eastAsia="仿宋"/>
          <w:kern w:val="2"/>
          <w:sz w:val="30"/>
          <w:szCs w:val="30"/>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t>第二部分  2018年度部门决算表</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sectPr>
          <w:pgSz w:w="11906" w:h="16838"/>
          <w:pgMar w:top="1440" w:right="1800" w:bottom="1440" w:left="1800" w:header="720" w:footer="720" w:gutter="0"/>
          <w:lnNumType w:countBy="0"/>
          <w:cols w:space="720" w:num="1"/>
          <w:vAlign w:val="top"/>
          <w:docGrid w:type="lines" w:linePitch="312" w:charSpace="0"/>
        </w:sectPr>
      </w:pPr>
    </w:p>
    <w:tbl>
      <w:tblPr>
        <w:tblStyle w:val="5"/>
        <w:tblW w:w="2832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123"/>
        <w:gridCol w:w="1464"/>
        <w:gridCol w:w="281"/>
        <w:gridCol w:w="825"/>
        <w:gridCol w:w="359"/>
        <w:gridCol w:w="176"/>
        <w:gridCol w:w="1229"/>
        <w:gridCol w:w="148"/>
        <w:gridCol w:w="264"/>
        <w:gridCol w:w="1289"/>
        <w:gridCol w:w="352"/>
        <w:gridCol w:w="1201"/>
        <w:gridCol w:w="260"/>
        <w:gridCol w:w="977"/>
        <w:gridCol w:w="136"/>
        <w:gridCol w:w="243"/>
        <w:gridCol w:w="86"/>
        <w:gridCol w:w="1522"/>
        <w:gridCol w:w="143"/>
        <w:gridCol w:w="14021"/>
        <w:gridCol w:w="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64" w:type="dxa"/>
            <w:gridSpan w:val="21"/>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收入支出决算总表</w:t>
            </w:r>
          </w:p>
        </w:tc>
        <w:tc>
          <w:tcPr>
            <w:tcW w:w="14164" w:type="dxa"/>
            <w:gridSpan w:val="2"/>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0"/>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954" w:type="dxa"/>
            <w:gridSpan w:val="5"/>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825"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764"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65"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65"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公开01表</w:t>
            </w:r>
          </w:p>
        </w:tc>
        <w:tc>
          <w:tcPr>
            <w:tcW w:w="14164"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954" w:type="dxa"/>
            <w:gridSpan w:val="5"/>
            <w:tcBorders>
              <w:top w:val="nil"/>
              <w:left w:val="nil"/>
              <w:bottom w:val="nil"/>
              <w:right w:val="nil"/>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825"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764"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65"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65"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c>
          <w:tcPr>
            <w:tcW w:w="14164"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7543" w:type="dxa"/>
            <w:gridSpan w:val="9"/>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收入</w:t>
            </w:r>
          </w:p>
        </w:tc>
        <w:tc>
          <w:tcPr>
            <w:tcW w:w="6621" w:type="dxa"/>
            <w:gridSpan w:val="12"/>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支出</w:t>
            </w:r>
          </w:p>
        </w:tc>
        <w:tc>
          <w:tcPr>
            <w:tcW w:w="14164" w:type="dxa"/>
            <w:gridSpan w:val="2"/>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14164"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4164"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一、一般公共服务支出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14</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center"/>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二、外交支出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15</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三、国防支出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16</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四、公共安全支出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17</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五、教育支出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18</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六、科学技术支出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19</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9</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394"/>
              </w:tabs>
              <w:ind w:firstLine="600" w:firstLineChars="300"/>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4491" w:type="dxa"/>
            <w:gridSpan w:val="7"/>
            <w:tcBorders>
              <w:top w:val="single" w:color="000000" w:sz="4" w:space="0"/>
              <w:left w:val="single" w:color="000000" w:sz="4" w:space="0"/>
              <w:bottom w:val="single" w:color="000000" w:sz="4" w:space="0"/>
              <w:right w:val="nil"/>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本年支出合计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22</w:t>
            </w:r>
          </w:p>
        </w:tc>
        <w:tc>
          <w:tcPr>
            <w:tcW w:w="1665" w:type="dxa"/>
            <w:gridSpan w:val="2"/>
            <w:tcBorders>
              <w:top w:val="single" w:color="000000" w:sz="4" w:space="0"/>
              <w:left w:val="nil"/>
              <w:bottom w:val="single" w:color="000000" w:sz="4" w:space="0"/>
              <w:right w:val="single" w:color="000000" w:sz="8" w:space="0"/>
            </w:tcBorders>
            <w:noWrap/>
            <w:vAlign w:val="center"/>
          </w:tcPr>
          <w:p>
            <w:pPr>
              <w:jc w:val="center"/>
              <w:textAlignment w:val="baseline"/>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2"/>
                <w:sz w:val="20"/>
                <w:szCs w:val="20"/>
                <w:lang w:val="en-US" w:eastAsia="zh-CN" w:bidi="ar-SA"/>
              </w:rPr>
              <w:t>2090.86</w:t>
            </w:r>
          </w:p>
        </w:tc>
        <w:tc>
          <w:tcPr>
            <w:tcW w:w="14164"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b/>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10</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nil"/>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结余分配</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23</w:t>
            </w:r>
          </w:p>
        </w:tc>
        <w:tc>
          <w:tcPr>
            <w:tcW w:w="1665"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nil"/>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年末结转和结余</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24</w:t>
            </w:r>
          </w:p>
        </w:tc>
        <w:tc>
          <w:tcPr>
            <w:tcW w:w="1665"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12</w:t>
            </w:r>
          </w:p>
        </w:tc>
        <w:tc>
          <w:tcPr>
            <w:tcW w:w="1764" w:type="dxa"/>
            <w:gridSpan w:val="3"/>
            <w:tcBorders>
              <w:top w:val="single" w:color="000000" w:sz="4" w:space="0"/>
              <w:left w:val="single" w:color="000000" w:sz="4" w:space="0"/>
              <w:bottom w:val="nil"/>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25</w:t>
            </w:r>
          </w:p>
        </w:tc>
        <w:tc>
          <w:tcPr>
            <w:tcW w:w="1665" w:type="dxa"/>
            <w:gridSpan w:val="2"/>
            <w:tcBorders>
              <w:top w:val="single" w:color="000000" w:sz="4" w:space="0"/>
              <w:left w:val="nil"/>
              <w:bottom w:val="nil"/>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nil"/>
              <w:bottom w:val="nil"/>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13</w:t>
            </w:r>
          </w:p>
        </w:tc>
        <w:tc>
          <w:tcPr>
            <w:tcW w:w="1764" w:type="dxa"/>
            <w:gridSpan w:val="3"/>
            <w:tcBorders>
              <w:top w:val="single" w:color="000000" w:sz="4" w:space="0"/>
              <w:left w:val="single" w:color="000000" w:sz="4" w:space="0"/>
              <w:bottom w:val="single" w:color="000000" w:sz="8" w:space="0"/>
              <w:right w:val="single" w:color="000000" w:sz="4" w:space="0"/>
            </w:tcBorders>
            <w:noWrap/>
            <w:vAlign w:val="center"/>
          </w:tcPr>
          <w:p>
            <w:pPr>
              <w:jc w:val="center"/>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2090.86</w:t>
            </w:r>
          </w:p>
        </w:tc>
        <w:tc>
          <w:tcPr>
            <w:tcW w:w="4491" w:type="dxa"/>
            <w:gridSpan w:val="7"/>
            <w:tcBorders>
              <w:top w:val="single" w:color="000000" w:sz="4" w:space="0"/>
              <w:left w:val="single" w:color="000000" w:sz="4"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26</w:t>
            </w:r>
          </w:p>
        </w:tc>
        <w:tc>
          <w:tcPr>
            <w:tcW w:w="1665" w:type="dxa"/>
            <w:gridSpan w:val="2"/>
            <w:tcBorders>
              <w:top w:val="single" w:color="000000" w:sz="4" w:space="0"/>
              <w:left w:val="nil"/>
              <w:bottom w:val="single" w:color="000000" w:sz="8" w:space="0"/>
              <w:right w:val="single" w:color="000000" w:sz="8" w:space="0"/>
            </w:tcBorders>
            <w:noWrap/>
            <w:vAlign w:val="center"/>
          </w:tcPr>
          <w:p>
            <w:pPr>
              <w:jc w:val="center"/>
              <w:textAlignment w:val="baseline"/>
              <w:rPr>
                <w:rStyle w:val="11"/>
                <w:rFonts w:hint="default" w:ascii="宋体" w:hAnsi="宋体" w:eastAsia="宋体"/>
                <w:b/>
                <w:i w:val="0"/>
                <w:color w:val="000000"/>
                <w:kern w:val="2"/>
                <w:sz w:val="20"/>
                <w:szCs w:val="20"/>
                <w:lang w:val="en-US" w:eastAsia="zh-CN" w:bidi="ar-SA"/>
              </w:rPr>
            </w:pPr>
            <w:r>
              <w:rPr>
                <w:rStyle w:val="11"/>
                <w:rFonts w:hint="eastAsia" w:ascii="宋体" w:hAnsi="宋体"/>
                <w:b/>
                <w:i w:val="0"/>
                <w:color w:val="000000"/>
                <w:kern w:val="2"/>
                <w:sz w:val="20"/>
                <w:szCs w:val="20"/>
                <w:lang w:val="en-US" w:eastAsia="zh-CN" w:bidi="ar-SA"/>
              </w:rPr>
              <w:t>2090.86</w:t>
            </w:r>
          </w:p>
        </w:tc>
        <w:tc>
          <w:tcPr>
            <w:tcW w:w="14164" w:type="dxa"/>
            <w:gridSpan w:val="2"/>
            <w:tcBorders>
              <w:top w:val="single" w:color="000000" w:sz="4" w:space="0"/>
              <w:left w:val="nil"/>
              <w:bottom w:val="single" w:color="000000" w:sz="8" w:space="0"/>
              <w:right w:val="single" w:color="000000" w:sz="8" w:space="0"/>
            </w:tcBorders>
            <w:noWrap/>
            <w:vAlign w:val="center"/>
          </w:tcPr>
          <w:p>
            <w:pPr>
              <w:jc w:val="both"/>
              <w:textAlignment w:val="baseline"/>
              <w:rPr>
                <w:rStyle w:val="11"/>
                <w:rFonts w:ascii="宋体" w:hAnsi="宋体" w:eastAsia="宋体"/>
                <w:b/>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164" w:type="dxa"/>
            <w:gridSpan w:val="21"/>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注：本表反映部门本年度的总收支和年末结转结余情况。本表金额转换为万元时，因四舍五入可能存在尾差。</w:t>
            </w:r>
          </w:p>
        </w:tc>
        <w:tc>
          <w:tcPr>
            <w:tcW w:w="14164" w:type="dxa"/>
            <w:gridSpan w:val="2"/>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35" w:hRule="atLeast"/>
        </w:trPr>
        <w:tc>
          <w:tcPr>
            <w:tcW w:w="14021" w:type="dxa"/>
            <w:gridSpan w:val="20"/>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收入决算表</w:t>
            </w:r>
          </w:p>
        </w:tc>
        <w:tc>
          <w:tcPr>
            <w:tcW w:w="14164" w:type="dxa"/>
            <w:gridSpan w:val="2"/>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0"/>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285" w:hRule="atLeast"/>
        </w:trPr>
        <w:tc>
          <w:tcPr>
            <w:tcW w:w="1027"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59"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123"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4"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5"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73"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51" w:type="dxa"/>
            <w:gridSpan w:val="3"/>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公开02表</w:t>
            </w:r>
          </w:p>
        </w:tc>
        <w:tc>
          <w:tcPr>
            <w:tcW w:w="14164"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300" w:hRule="atLeast"/>
        </w:trPr>
        <w:tc>
          <w:tcPr>
            <w:tcW w:w="6138" w:type="dxa"/>
            <w:gridSpan w:val="7"/>
            <w:tcBorders>
              <w:top w:val="nil"/>
              <w:left w:val="nil"/>
              <w:bottom w:val="nil"/>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553" w:type="dxa"/>
            <w:gridSpan w:val="3"/>
            <w:tcBorders>
              <w:top w:val="nil"/>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73"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51" w:type="dxa"/>
            <w:gridSpan w:val="3"/>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c>
          <w:tcPr>
            <w:tcW w:w="14164"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8"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146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本年收入合计</w:t>
            </w:r>
          </w:p>
        </w:tc>
        <w:tc>
          <w:tcPr>
            <w:tcW w:w="1641" w:type="dxa"/>
            <w:gridSpan w:val="4"/>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财政拨款收入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事业收入</w:t>
            </w:r>
          </w:p>
        </w:tc>
        <w:tc>
          <w:tcPr>
            <w:tcW w:w="146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经营收入</w:t>
            </w:r>
          </w:p>
        </w:tc>
        <w:tc>
          <w:tcPr>
            <w:tcW w:w="13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附属单位上缴收入</w:t>
            </w:r>
          </w:p>
        </w:tc>
        <w:tc>
          <w:tcPr>
            <w:tcW w:w="1608"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其他收入</w:t>
            </w:r>
          </w:p>
        </w:tc>
        <w:tc>
          <w:tcPr>
            <w:tcW w:w="14164"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0"/>
                <w:sz w:val="20"/>
                <w:szCs w:val="20"/>
                <w:lang w:val="en-US" w:eastAsia="zh-CN"/>
              </w:rPr>
            </w:pPr>
            <w:r>
              <w:rPr>
                <w:rStyle w:val="11"/>
                <w:rFonts w:ascii="宋体" w:hAnsi="宋体" w:eastAsia="宋体"/>
                <w:i w:val="0"/>
                <w:color w:val="000000"/>
                <w:kern w:val="0"/>
                <w:sz w:val="20"/>
                <w:szCs w:val="20"/>
                <w:lang w:val="en-US" w:eastAsia="zh-CN"/>
              </w:rPr>
              <w:t>功能分类</w:t>
            </w:r>
          </w:p>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科目编码</w:t>
            </w:r>
          </w:p>
        </w:tc>
        <w:tc>
          <w:tcPr>
            <w:tcW w:w="21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1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栏次</w:t>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c>
          <w:tcPr>
            <w:tcW w:w="1608"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7</w:t>
            </w:r>
          </w:p>
        </w:tc>
        <w:tc>
          <w:tcPr>
            <w:tcW w:w="14164"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209" w:type="dxa"/>
            <w:gridSpan w:val="3"/>
            <w:tcBorders>
              <w:top w:val="nil"/>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2080505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社会保障和就业支出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99.89</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480"/>
              </w:tabs>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ab/>
            </w:r>
            <w:r>
              <w:rPr>
                <w:rStyle w:val="11"/>
                <w:rFonts w:ascii="宋体" w:hAnsi="宋体" w:eastAsia="宋体"/>
                <w:i w:val="0"/>
                <w:color w:val="000000"/>
                <w:kern w:val="2"/>
                <w:sz w:val="20"/>
                <w:szCs w:val="20"/>
                <w:lang w:val="en-US" w:eastAsia="zh-CN" w:bidi="ar-SA"/>
              </w:rPr>
              <w:t>99.89</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2080901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退役安置</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华文中宋" w:hAnsi="华文中宋" w:eastAsia="华文中宋"/>
                <w:i w:val="0"/>
                <w:color w:val="000000"/>
                <w:kern w:val="2"/>
                <w:sz w:val="20"/>
                <w:szCs w:val="20"/>
                <w:lang w:val="en-US" w:eastAsia="zh-CN" w:bidi="ar-SA"/>
              </w:rPr>
            </w:pPr>
            <w:r>
              <w:rPr>
                <w:rStyle w:val="11"/>
                <w:rFonts w:ascii="华文中宋" w:hAnsi="华文中宋" w:eastAsia="华文中宋"/>
                <w:i w:val="0"/>
                <w:color w:val="000000"/>
                <w:kern w:val="2"/>
                <w:sz w:val="20"/>
                <w:szCs w:val="20"/>
                <w:lang w:val="en-US" w:eastAsia="zh-CN" w:bidi="ar-SA"/>
              </w:rPr>
              <w:t>0.81</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0.81</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2101102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事业单位医疗</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39.95</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39.95</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2130210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林业自然保护区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1890.28</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1890.28</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2210201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住房公积金</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59.93</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59.93</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2123" w:type="dxa"/>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1464"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4"/>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3"/>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8"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164" w:type="dxa"/>
            <w:gridSpan w:val="2"/>
            <w:tcBorders>
              <w:top w:val="single" w:color="000000" w:sz="4" w:space="0"/>
              <w:left w:val="single" w:color="000000" w:sz="4" w:space="0"/>
              <w:bottom w:val="single" w:color="000000" w:sz="8"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15" w:hRule="atLeast"/>
        </w:trPr>
        <w:tc>
          <w:tcPr>
            <w:tcW w:w="14021" w:type="dxa"/>
            <w:gridSpan w:val="20"/>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注：本表反映部门本年度取得的各项收入情况。本表金额转换为万元时，因四舍五入可能存在尾差。</w:t>
            </w:r>
          </w:p>
        </w:tc>
        <w:tc>
          <w:tcPr>
            <w:tcW w:w="14164" w:type="dxa"/>
            <w:gridSpan w:val="2"/>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0"/>
                <w:sz w:val="20"/>
                <w:szCs w:val="20"/>
                <w:lang w:val="en-US" w:eastAsia="zh-CN"/>
              </w:rPr>
            </w:pPr>
          </w:p>
        </w:tc>
      </w:tr>
    </w:tbl>
    <w:p>
      <w:pPr>
        <w:jc w:val="both"/>
        <w:textAlignment w:val="baseline"/>
        <w:rPr>
          <w:rStyle w:val="11"/>
          <w:rFonts w:ascii="仿宋_GB2312" w:hAnsi="仿宋_GB2312" w:eastAsia="仿宋_GB2312"/>
          <w:color w:val="000000"/>
          <w:kern w:val="2"/>
          <w:sz w:val="32"/>
          <w:szCs w:val="32"/>
          <w:lang w:val="en-US" w:eastAsia="zh-CN" w:bidi="ar-SA"/>
        </w:rPr>
      </w:pPr>
    </w:p>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580" w:left="1440" w:header="720" w:footer="720" w:gutter="0"/>
          <w:lnNumType w:countBy="0"/>
          <w:cols w:space="720" w:num="1"/>
          <w:vAlign w:val="top"/>
          <w:docGrid w:type="lines" w:linePitch="312" w:charSpace="0"/>
        </w:sectPr>
      </w:pPr>
    </w:p>
    <w:tbl>
      <w:tblPr>
        <w:tblStyle w:val="5"/>
        <w:tblW w:w="1383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2071"/>
        <w:gridCol w:w="1774"/>
        <w:gridCol w:w="1672"/>
        <w:gridCol w:w="1569"/>
        <w:gridCol w:w="335"/>
        <w:gridCol w:w="1467"/>
        <w:gridCol w:w="437"/>
        <w:gridCol w:w="1364"/>
        <w:gridCol w:w="312"/>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31" w:type="dxa"/>
            <w:gridSpan w:val="13"/>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90"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071"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774"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2"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69"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32"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55" w:type="dxa"/>
            <w:gridSpan w:val="5"/>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672"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69" w:type="dxa"/>
            <w:tcBorders>
              <w:top w:val="nil"/>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32"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281" w:type="dxa"/>
            <w:gridSpan w:val="4"/>
            <w:tcBorders>
              <w:top w:val="single" w:color="000000" w:sz="8"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177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本年支出合计</w:t>
            </w:r>
          </w:p>
        </w:tc>
        <w:tc>
          <w:tcPr>
            <w:tcW w:w="167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上缴上级支出</w:t>
            </w:r>
          </w:p>
        </w:tc>
        <w:tc>
          <w:tcPr>
            <w:tcW w:w="16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经营支出</w:t>
            </w:r>
          </w:p>
        </w:tc>
        <w:tc>
          <w:tcPr>
            <w:tcW w:w="162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0"/>
                <w:sz w:val="20"/>
                <w:szCs w:val="20"/>
                <w:lang w:val="en-US" w:eastAsia="zh-CN"/>
              </w:rPr>
            </w:pPr>
            <w:r>
              <w:rPr>
                <w:rStyle w:val="11"/>
                <w:rFonts w:ascii="宋体" w:hAnsi="宋体" w:eastAsia="宋体"/>
                <w:i w:val="0"/>
                <w:color w:val="000000"/>
                <w:kern w:val="0"/>
                <w:sz w:val="20"/>
                <w:szCs w:val="20"/>
                <w:lang w:val="en-US" w:eastAsia="zh-CN"/>
              </w:rPr>
              <w:t>功能分类</w:t>
            </w:r>
          </w:p>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科目编码</w:t>
            </w:r>
          </w:p>
        </w:tc>
        <w:tc>
          <w:tcPr>
            <w:tcW w:w="209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0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281" w:type="dxa"/>
            <w:gridSpan w:val="4"/>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栏次</w:t>
            </w:r>
          </w:p>
        </w:tc>
        <w:tc>
          <w:tcPr>
            <w:tcW w:w="1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281" w:type="dxa"/>
            <w:gridSpan w:val="4"/>
            <w:tcBorders>
              <w:top w:val="nil"/>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1213.3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877.55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2080505</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机关事业单位基本养老保险缴费支出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99.89</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99.89</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2080901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退役士兵安置</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0.81</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0.81</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2101102</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事业单位医疗</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39.95</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39.95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2130210</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林业自然保护区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1890.28</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1012.72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877.55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2210201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住房公积金</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59.93</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59.93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2098"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1774"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2"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8"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831" w:type="dxa"/>
            <w:gridSpan w:val="13"/>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注：本表反映部门本年度各项支出情况。本表金额转换为万元时，因四舍五入可能存在尾差。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540" w:right="1440" w:bottom="866" w:left="1440" w:header="720" w:footer="720" w:gutter="0"/>
          <w:lnNumType w:countBy="0"/>
          <w:cols w:space="720" w:num="1"/>
          <w:vAlign w:val="top"/>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72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21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597"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708"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43"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016"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72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21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597"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708"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43"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016"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一般公共预算财政拨款</w:t>
            </w:r>
          </w:p>
        </w:tc>
        <w:tc>
          <w:tcPr>
            <w:tcW w:w="1680"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15</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16</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100.7</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17</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39.95</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18</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1890.28</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19</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59.93</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9</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340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23</w:t>
            </w:r>
          </w:p>
        </w:tc>
        <w:tc>
          <w:tcPr>
            <w:tcW w:w="708" w:type="dxa"/>
            <w:tcBorders>
              <w:top w:val="single" w:color="000000" w:sz="4" w:space="0"/>
              <w:left w:val="nil"/>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1680" w:type="dxa"/>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b/>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10</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24</w:t>
            </w:r>
          </w:p>
        </w:tc>
        <w:tc>
          <w:tcPr>
            <w:tcW w:w="708" w:type="dxa"/>
            <w:tcBorders>
              <w:top w:val="single" w:color="000000" w:sz="4" w:space="0"/>
              <w:left w:val="nil"/>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25</w:t>
            </w:r>
          </w:p>
        </w:tc>
        <w:tc>
          <w:tcPr>
            <w:tcW w:w="708" w:type="dxa"/>
            <w:tcBorders>
              <w:top w:val="single" w:color="000000" w:sz="4" w:space="0"/>
              <w:left w:val="nil"/>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12</w:t>
            </w:r>
          </w:p>
        </w:tc>
        <w:tc>
          <w:tcPr>
            <w:tcW w:w="1210" w:type="dxa"/>
            <w:tcBorders>
              <w:top w:val="single" w:color="000000" w:sz="4" w:space="0"/>
              <w:left w:val="single" w:color="000000" w:sz="4" w:space="0"/>
              <w:bottom w:val="nil"/>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26</w:t>
            </w:r>
          </w:p>
        </w:tc>
        <w:tc>
          <w:tcPr>
            <w:tcW w:w="708" w:type="dxa"/>
            <w:tcBorders>
              <w:top w:val="single" w:color="000000" w:sz="4" w:space="0"/>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nil"/>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13</w:t>
            </w:r>
          </w:p>
        </w:tc>
        <w:tc>
          <w:tcPr>
            <w:tcW w:w="1210" w:type="dxa"/>
            <w:tcBorders>
              <w:top w:val="single" w:color="000000" w:sz="4" w:space="0"/>
              <w:left w:val="single" w:color="000000" w:sz="4" w:space="0"/>
              <w:bottom w:val="nil"/>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27</w:t>
            </w:r>
          </w:p>
        </w:tc>
        <w:tc>
          <w:tcPr>
            <w:tcW w:w="708" w:type="dxa"/>
            <w:tcBorders>
              <w:top w:val="single" w:color="000000" w:sz="4" w:space="0"/>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nil"/>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14</w:t>
            </w:r>
          </w:p>
        </w:tc>
        <w:tc>
          <w:tcPr>
            <w:tcW w:w="1210"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3400" w:type="dxa"/>
            <w:tcBorders>
              <w:top w:val="single" w:color="000000" w:sz="4" w:space="0"/>
              <w:left w:val="single" w:color="000000" w:sz="4"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28</w:t>
            </w:r>
          </w:p>
        </w:tc>
        <w:tc>
          <w:tcPr>
            <w:tcW w:w="708" w:type="dxa"/>
            <w:tcBorders>
              <w:top w:val="single" w:color="000000" w:sz="4" w:space="0"/>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2090.86</w:t>
            </w:r>
          </w:p>
        </w:tc>
        <w:tc>
          <w:tcPr>
            <w:tcW w:w="1680" w:type="dxa"/>
            <w:tcBorders>
              <w:top w:val="single" w:color="000000" w:sz="4" w:space="0"/>
              <w:left w:val="nil"/>
              <w:bottom w:val="single" w:color="000000" w:sz="8" w:space="0"/>
              <w:right w:val="single" w:color="000000" w:sz="8" w:space="0"/>
            </w:tcBorders>
            <w:noWrap/>
            <w:vAlign w:val="center"/>
          </w:tcPr>
          <w:p>
            <w:pPr>
              <w:jc w:val="both"/>
              <w:textAlignment w:val="baseline"/>
              <w:rPr>
                <w:rStyle w:val="11"/>
                <w:rFonts w:ascii="宋体" w:hAnsi="宋体" w:eastAsia="宋体"/>
                <w:b/>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注：本表反映部门本年度一般公共预算财政拨款和政府性基金预算财政拨款的总收支和年末结转结余情况。本表金额转换为万元时，因四舍五入可能存在尾差。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800" w:left="1440" w:header="720" w:footer="720" w:gutter="0"/>
          <w:lnNumType w:countBy="0"/>
          <w:cols w:space="720" w:num="1"/>
          <w:vAlign w:val="top"/>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2"/>
        <w:gridCol w:w="662"/>
        <w:gridCol w:w="2683"/>
        <w:gridCol w:w="3305"/>
        <w:gridCol w:w="3302"/>
        <w:gridCol w:w="3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6"/>
            <w:tcBorders>
              <w:top w:val="nil"/>
              <w:left w:val="nil"/>
              <w:bottom w:val="nil"/>
              <w:right w:val="nil"/>
            </w:tcBorders>
            <w:shd w:val="clear" w:color="auto" w:fill="FFFFFF"/>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248" w:type="pct"/>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36" w:type="pct"/>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961" w:type="pct"/>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183" w:type="pct"/>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83" w:type="pct"/>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85" w:type="pct"/>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w:t>
            </w:r>
            <w:r>
              <w:rPr>
                <w:rStyle w:val="17"/>
                <w:rFonts w:ascii="宋体" w:hAnsi="宋体" w:eastAsia="宋体"/>
                <w:i w:val="0"/>
                <w:color w:val="000000"/>
                <w:kern w:val="2"/>
                <w:sz w:val="20"/>
                <w:szCs w:val="20"/>
                <w:lang w:val="en-US" w:eastAsia="zh-CN"/>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0" w:type="pct"/>
            <w:gridSpan w:val="4"/>
            <w:tcBorders>
              <w:top w:val="nil"/>
              <w:left w:val="nil"/>
              <w:bottom w:val="nil"/>
              <w:right w:val="nil"/>
            </w:tcBorders>
            <w:shd w:val="clear" w:color="auto" w:fill="FFFFFF"/>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183" w:type="pct"/>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85" w:type="pct"/>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446" w:type="pct"/>
            <w:gridSpan w:val="3"/>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 xml:space="preserve">项 </w:t>
            </w:r>
            <w:r>
              <w:rPr>
                <w:rStyle w:val="18"/>
                <w:rFonts w:ascii="宋体" w:hAnsi="宋体" w:eastAsia="宋体"/>
                <w:i w:val="0"/>
                <w:color w:val="000000"/>
                <w:kern w:val="2"/>
                <w:sz w:val="18"/>
                <w:szCs w:val="18"/>
                <w:lang w:val="en-US" w:eastAsia="zh-CN"/>
              </w:rPr>
              <w:t xml:space="preserve">   </w:t>
            </w:r>
            <w:r>
              <w:rPr>
                <w:rStyle w:val="22"/>
                <w:rFonts w:ascii="宋体" w:hAnsi="宋体" w:eastAsia="宋体"/>
                <w:i w:val="0"/>
                <w:color w:val="000000"/>
                <w:kern w:val="2"/>
                <w:sz w:val="18"/>
                <w:szCs w:val="18"/>
                <w:lang w:val="en-US" w:eastAsia="zh-CN"/>
              </w:rPr>
              <w:t>目</w:t>
            </w:r>
          </w:p>
        </w:tc>
        <w:tc>
          <w:tcPr>
            <w:tcW w:w="3553" w:type="pct"/>
            <w:gridSpan w:val="3"/>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485" w:type="pct"/>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0"/>
                <w:sz w:val="18"/>
                <w:szCs w:val="18"/>
                <w:lang w:val="en-US" w:eastAsia="zh-CN"/>
              </w:rPr>
            </w:pPr>
            <w:r>
              <w:rPr>
                <w:rStyle w:val="11"/>
                <w:rFonts w:ascii="宋体" w:hAnsi="宋体" w:eastAsia="宋体"/>
                <w:i w:val="0"/>
                <w:color w:val="000000"/>
                <w:kern w:val="0"/>
                <w:sz w:val="18"/>
                <w:szCs w:val="18"/>
                <w:lang w:val="en-US" w:eastAsia="zh-CN"/>
              </w:rPr>
              <w:t>功能分类</w:t>
            </w:r>
          </w:p>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科目编码</w:t>
            </w:r>
          </w:p>
        </w:tc>
        <w:tc>
          <w:tcPr>
            <w:tcW w:w="96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科目名称</w:t>
            </w:r>
          </w:p>
        </w:tc>
        <w:tc>
          <w:tcPr>
            <w:tcW w:w="1183"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小计</w:t>
            </w:r>
          </w:p>
        </w:tc>
        <w:tc>
          <w:tcPr>
            <w:tcW w:w="1183"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基本支出</w:t>
            </w:r>
          </w:p>
        </w:tc>
        <w:tc>
          <w:tcPr>
            <w:tcW w:w="1185" w:type="pct"/>
            <w:vMerge w:val="restart"/>
            <w:tcBorders>
              <w:top w:val="nil"/>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85" w:type="pct"/>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961" w:type="pct"/>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1183" w:type="pct"/>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1183" w:type="pct"/>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1185" w:type="pct"/>
            <w:vMerge w:val="continue"/>
            <w:tcBorders>
              <w:top w:val="nil"/>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85" w:type="pct"/>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961" w:type="pct"/>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1183" w:type="pct"/>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1183" w:type="pct"/>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c>
          <w:tcPr>
            <w:tcW w:w="1185" w:type="pct"/>
            <w:vMerge w:val="continue"/>
            <w:tcBorders>
              <w:top w:val="nil"/>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46" w:type="pct"/>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栏次</w:t>
            </w:r>
          </w:p>
        </w:tc>
        <w:tc>
          <w:tcPr>
            <w:tcW w:w="11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1</w:t>
            </w:r>
          </w:p>
        </w:tc>
        <w:tc>
          <w:tcPr>
            <w:tcW w:w="11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2</w:t>
            </w:r>
          </w:p>
        </w:tc>
        <w:tc>
          <w:tcPr>
            <w:tcW w:w="1185" w:type="pct"/>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46" w:type="pct"/>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0"/>
                <w:sz w:val="18"/>
                <w:szCs w:val="18"/>
                <w:lang w:val="en-US" w:eastAsia="zh-CN"/>
              </w:rPr>
              <w:t>合计</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2"/>
                <w:sz w:val="18"/>
                <w:szCs w:val="18"/>
                <w:lang w:val="en-US" w:eastAsia="zh-CN" w:bidi="ar-SA"/>
              </w:rPr>
              <w:t>2090.86</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2"/>
                <w:sz w:val="18"/>
                <w:szCs w:val="18"/>
                <w:lang w:val="en-US" w:eastAsia="zh-CN" w:bidi="ar-SA"/>
              </w:rPr>
              <w:t>1213.31</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2"/>
                <w:sz w:val="18"/>
                <w:szCs w:val="18"/>
                <w:lang w:val="en-US" w:eastAsia="zh-CN" w:bidi="ar-SA"/>
              </w:rPr>
              <w:t>877.55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208</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社会保障和就业支出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100.7</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100.7</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20805</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行政事业单位离退休</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99.89</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99.89</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2080505</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2"/>
                <w:sz w:val="18"/>
                <w:szCs w:val="18"/>
                <w:lang w:val="en-US" w:eastAsia="zh-CN" w:bidi="ar-SA"/>
              </w:rPr>
              <w:t>机关事业单位基本养老保险缴费支出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99.89</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99.89</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20809</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退役安置</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0.81</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0.81</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2080901</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ascii="宋体" w:hAnsi="宋体" w:eastAsia="宋体"/>
                <w:i w:val="0"/>
                <w:color w:val="000000"/>
                <w:kern w:val="2"/>
                <w:sz w:val="18"/>
                <w:szCs w:val="18"/>
                <w:lang w:val="en-US" w:eastAsia="zh-CN" w:bidi="ar-SA"/>
              </w:rPr>
              <w:t>退役士兵安置</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0.81</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0.81</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210</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医疗卫生与计划生育支出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39.95</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39.95</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21011</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行政事业医疗</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39.95</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39.95</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2101102</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事业单位医疗</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39.95</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39.95</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213</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农林水支出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1890.28</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1012.72</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877.55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21302</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林业</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1890.28</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1012.72</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877.55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2130210</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林业自然保护区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1890.28</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1012.72</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877.55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221</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住房保障支出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59.93</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r>
              <w:rPr>
                <w:rStyle w:val="11"/>
                <w:rFonts w:ascii="宋体" w:hAnsi="宋体" w:eastAsia="宋体"/>
                <w:b/>
                <w:bCs/>
                <w:i w:val="0"/>
                <w:color w:val="000000"/>
                <w:kern w:val="2"/>
                <w:sz w:val="18"/>
                <w:szCs w:val="18"/>
                <w:lang w:val="en-US" w:eastAsia="zh-CN" w:bidi="ar-SA"/>
              </w:rPr>
              <w:t>59.93</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b/>
                <w:bCs/>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22102</w:t>
            </w:r>
          </w:p>
        </w:tc>
        <w:tc>
          <w:tcPr>
            <w:tcW w:w="961"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住房改革支出</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59.93</w:t>
            </w:r>
          </w:p>
        </w:tc>
        <w:tc>
          <w:tcPr>
            <w:tcW w:w="1183" w:type="pct"/>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59.93</w:t>
            </w:r>
          </w:p>
        </w:tc>
        <w:tc>
          <w:tcPr>
            <w:tcW w:w="1185" w:type="pct"/>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485" w:type="pct"/>
            <w:gridSpan w:val="2"/>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2210201</w:t>
            </w:r>
          </w:p>
        </w:tc>
        <w:tc>
          <w:tcPr>
            <w:tcW w:w="961" w:type="pct"/>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住房公积金</w:t>
            </w:r>
          </w:p>
        </w:tc>
        <w:tc>
          <w:tcPr>
            <w:tcW w:w="1183" w:type="pct"/>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59.93</w:t>
            </w:r>
          </w:p>
        </w:tc>
        <w:tc>
          <w:tcPr>
            <w:tcW w:w="1183" w:type="pct"/>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000000"/>
                <w:kern w:val="2"/>
                <w:sz w:val="18"/>
                <w:szCs w:val="18"/>
                <w:lang w:val="en-US" w:eastAsia="zh-CN" w:bidi="ar-SA"/>
              </w:rPr>
            </w:pPr>
            <w:r>
              <w:rPr>
                <w:rStyle w:val="11"/>
                <w:rFonts w:hint="eastAsia" w:ascii="宋体" w:hAnsi="宋体"/>
                <w:i w:val="0"/>
                <w:color w:val="000000"/>
                <w:kern w:val="2"/>
                <w:sz w:val="18"/>
                <w:szCs w:val="18"/>
                <w:lang w:val="en-US" w:eastAsia="zh-CN" w:bidi="ar-SA"/>
              </w:rPr>
              <w:t>59.93</w:t>
            </w:r>
          </w:p>
        </w:tc>
        <w:tc>
          <w:tcPr>
            <w:tcW w:w="1185" w:type="pct"/>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ascii="宋体" w:hAnsi="宋体" w:eastAsia="宋体"/>
                <w:i w:val="0"/>
                <w:color w:val="0000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000" w:type="pct"/>
            <w:gridSpan w:val="6"/>
            <w:tcBorders>
              <w:top w:val="nil"/>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注：本表反映部门本年度一般公共预算财政拨款支出情况。本表金额转换为万元时，因四舍五入可能存在尾差。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800" w:left="1440" w:header="720" w:footer="720" w:gutter="0"/>
          <w:lnNumType w:countBy="0"/>
          <w:cols w:space="720" w:num="1"/>
          <w:vAlign w:val="top"/>
          <w:docGrid w:type="lines" w:linePitch="312" w:charSpace="0"/>
        </w:sectPr>
      </w:pPr>
    </w:p>
    <w:tbl>
      <w:tblPr>
        <w:tblStyle w:val="5"/>
        <w:tblW w:w="1392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382"/>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25" w:type="dxa"/>
            <w:gridSpan w:val="9"/>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923"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938"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87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06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3382"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068"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31" w:type="dxa"/>
            <w:gridSpan w:val="3"/>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r>
              <w:rPr>
                <w:rStyle w:val="11"/>
                <w:rFonts w:ascii="Arial" w:hAnsi="Arial" w:eastAsia="宋体"/>
                <w:i w:val="0"/>
                <w:color w:val="000000"/>
                <w:kern w:val="0"/>
                <w:sz w:val="20"/>
                <w:szCs w:val="20"/>
                <w:lang w:val="en-US" w:eastAsia="zh-CN"/>
              </w:rPr>
              <w:t>部门：罗山县董寨国家级自然保护区管理局</w:t>
            </w:r>
          </w:p>
        </w:tc>
        <w:tc>
          <w:tcPr>
            <w:tcW w:w="870"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2066"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938"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870"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3382"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1068" w:type="dxa"/>
            <w:tcBorders>
              <w:top w:val="nil"/>
              <w:left w:val="nil"/>
              <w:bottom w:val="nil"/>
              <w:right w:val="nil"/>
            </w:tcBorders>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经济分类科目编码</w:t>
            </w:r>
          </w:p>
        </w:tc>
        <w:tc>
          <w:tcPr>
            <w:tcW w:w="2923"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经济分类科目编码</w:t>
            </w:r>
          </w:p>
        </w:tc>
        <w:tc>
          <w:tcPr>
            <w:tcW w:w="2066"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经济分类科目编码</w:t>
            </w:r>
          </w:p>
        </w:tc>
        <w:tc>
          <w:tcPr>
            <w:tcW w:w="3382"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068" w:type="dxa"/>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301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工资福利支出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2"/>
                <w:sz w:val="20"/>
                <w:szCs w:val="20"/>
                <w:lang w:val="en-US" w:eastAsia="zh-CN" w:bidi="ar-SA"/>
              </w:rPr>
              <w:t>904.69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302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2"/>
                <w:sz w:val="20"/>
                <w:szCs w:val="20"/>
                <w:lang w:val="en-US" w:eastAsia="zh-CN" w:bidi="ar-SA"/>
              </w:rPr>
              <w:t>248.06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310</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2"/>
                <w:sz w:val="20"/>
                <w:szCs w:val="20"/>
                <w:lang w:val="en-US" w:eastAsia="zh-CN" w:bidi="ar-SA"/>
              </w:rPr>
              <w:t>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408.64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25.11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31001</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房屋建筑物购建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30102</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80.06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31002</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办公设备购置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87.56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77.22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31003</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专用设备购置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30106</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31005</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基础设施建设</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30107</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128.65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30205</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0.71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31006</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大型修缮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30108</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99.89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11.1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31007</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信息网络及软件购置更新</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31008</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物资储备</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30110</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39.95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30208</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31009</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土地补偿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31010</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安置补助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30112</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17.65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31011</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地上附着物和青苗补偿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59.93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31012</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拆迁补偿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30114</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31013</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公务用车购置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30199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10.89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31019</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其他交通工具购置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303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2"/>
                <w:sz w:val="20"/>
                <w:szCs w:val="20"/>
                <w:lang w:val="en-US" w:eastAsia="zh-CN" w:bidi="ar-SA"/>
              </w:rPr>
              <w:t>35.14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30215</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0.26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31021</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文物和陈列品购置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0.56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31022</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无形资产购置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30302</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4.31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31099</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0.81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30218</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9.23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30304</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4.62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31201</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资本金注入</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30305</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8.69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30225</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31203</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政府投资基金股权投资</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30306</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6.5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46.75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31204</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费用补贴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30307</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31205</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利息补贴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30308</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30228</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31299</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11.43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313</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对社会保障基金补助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30310</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13.81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30231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13.23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31302</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对社会保险基金补助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30399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30239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31303</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补充全国社会保障基金</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30240</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30299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16.6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39906</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赠与</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39907</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国家赔偿费用支出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39908</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对民间非营利组织和群众性自治组织补贴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39999</w:t>
            </w:r>
          </w:p>
        </w:tc>
        <w:tc>
          <w:tcPr>
            <w:tcW w:w="338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3382"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18"/>
                <w:szCs w:val="18"/>
                <w:lang w:val="en-US" w:eastAsia="zh-CN" w:bidi="ar-SA"/>
              </w:rPr>
            </w:pPr>
          </w:p>
        </w:tc>
        <w:tc>
          <w:tcPr>
            <w:tcW w:w="3382"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18"/>
                <w:szCs w:val="18"/>
                <w:lang w:val="en-US" w:eastAsia="zh-CN" w:bidi="ar-SA"/>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ign w:val="center"/>
          </w:tcPr>
          <w:p>
            <w:pPr>
              <w:widowControl/>
              <w:jc w:val="center"/>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人员经费合计</w:t>
            </w:r>
          </w:p>
        </w:tc>
        <w:tc>
          <w:tcPr>
            <w:tcW w:w="938" w:type="dxa"/>
            <w:tcBorders>
              <w:top w:val="single" w:color="000000" w:sz="4" w:space="0"/>
              <w:left w:val="single" w:color="000000" w:sz="4" w:space="0"/>
              <w:bottom w:val="single" w:color="000000" w:sz="8" w:space="0"/>
              <w:right w:val="single" w:color="000000" w:sz="4"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2"/>
                <w:sz w:val="20"/>
                <w:szCs w:val="20"/>
                <w:lang w:val="en-US" w:eastAsia="zh-CN" w:bidi="ar-SA"/>
              </w:rPr>
              <w:t>939.83</w:t>
            </w:r>
          </w:p>
        </w:tc>
        <w:tc>
          <w:tcPr>
            <w:tcW w:w="8126" w:type="dxa"/>
            <w:gridSpan w:val="5"/>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公用经费合计</w:t>
            </w:r>
          </w:p>
        </w:tc>
        <w:tc>
          <w:tcPr>
            <w:tcW w:w="1068" w:type="dxa"/>
            <w:tcBorders>
              <w:top w:val="single" w:color="000000" w:sz="4" w:space="0"/>
              <w:left w:val="single" w:color="000000" w:sz="4" w:space="0"/>
              <w:bottom w:val="single" w:color="000000" w:sz="8" w:space="0"/>
              <w:right w:val="single" w:color="000000" w:sz="8"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2"/>
                <w:sz w:val="20"/>
                <w:szCs w:val="20"/>
                <w:lang w:val="en-US" w:eastAsia="zh-CN" w:bidi="ar-SA"/>
              </w:rPr>
              <w:t>273.48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25" w:type="dxa"/>
            <w:gridSpan w:val="9"/>
            <w:tcBorders>
              <w:top w:val="nil"/>
              <w:left w:val="nil"/>
              <w:bottom w:val="nil"/>
              <w:right w:val="nil"/>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注：本表反映部门本年度一般公共预算财政拨款基本支出明细情况。本表金额转换为万元时，因四舍五入可能存在尾差。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800" w:left="1440" w:header="720" w:footer="720" w:gutter="0"/>
          <w:lnNumType w:countBy="0"/>
          <w:cols w:space="720" w:num="1"/>
          <w:vAlign w:val="top"/>
          <w:docGrid w:type="lines" w:linePitch="312" w:charSpace="0"/>
        </w:sectPr>
      </w:pPr>
    </w:p>
    <w:tbl>
      <w:tblPr>
        <w:tblStyle w:val="5"/>
        <w:tblW w:w="1380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49"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150"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预算数</w:t>
            </w:r>
          </w:p>
        </w:tc>
        <w:tc>
          <w:tcPr>
            <w:tcW w:w="6906" w:type="dxa"/>
            <w:gridSpan w:val="6"/>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公务接待费</w:t>
            </w:r>
          </w:p>
        </w:tc>
        <w:tc>
          <w:tcPr>
            <w:tcW w:w="115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150"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小计</w:t>
            </w:r>
          </w:p>
        </w:tc>
        <w:tc>
          <w:tcPr>
            <w:tcW w:w="1150"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公务用车购置费</w:t>
            </w: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公务用车运行费</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小计</w:t>
            </w: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公务用车购置费</w:t>
            </w: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公务用车运行费</w:t>
            </w:r>
          </w:p>
        </w:tc>
        <w:tc>
          <w:tcPr>
            <w:tcW w:w="1151" w:type="dxa"/>
            <w:vMerge w:val="continue"/>
            <w:tcBorders>
              <w:top w:val="single" w:color="000000" w:sz="4"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11</w:t>
            </w:r>
          </w:p>
        </w:tc>
        <w:tc>
          <w:tcPr>
            <w:tcW w:w="1151"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w:t>
            </w:r>
          </w:p>
        </w:tc>
        <w:tc>
          <w:tcPr>
            <w:tcW w:w="1149"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w:t>
            </w:r>
          </w:p>
        </w:tc>
        <w:tc>
          <w:tcPr>
            <w:tcW w:w="1150"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15</w:t>
            </w:r>
          </w:p>
        </w:tc>
        <w:tc>
          <w:tcPr>
            <w:tcW w:w="1150"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15</w:t>
            </w:r>
          </w:p>
        </w:tc>
        <w:tc>
          <w:tcPr>
            <w:tcW w:w="1150"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5</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17.54</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13.23</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0</w:t>
            </w:r>
          </w:p>
        </w:tc>
        <w:tc>
          <w:tcPr>
            <w:tcW w:w="1151" w:type="dxa"/>
            <w:tcBorders>
              <w:top w:val="single" w:color="000000" w:sz="4" w:space="0"/>
              <w:left w:val="single" w:color="000000" w:sz="4" w:space="0"/>
              <w:bottom w:val="single" w:color="000000" w:sz="8"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13.23</w:t>
            </w:r>
          </w:p>
        </w:tc>
        <w:tc>
          <w:tcPr>
            <w:tcW w:w="1151" w:type="dxa"/>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注：本表反映部门本年度“三公”经费支出预决算情况。其中，</w:t>
            </w:r>
            <w:r>
              <w:rPr>
                <w:rStyle w:val="15"/>
                <w:rFonts w:ascii="宋体" w:hAnsi="宋体" w:eastAsia="宋体"/>
                <w:i w:val="0"/>
                <w:color w:val="000000"/>
                <w:kern w:val="2"/>
                <w:sz w:val="20"/>
                <w:szCs w:val="20"/>
                <w:lang w:val="en-US" w:eastAsia="zh-CN"/>
              </w:rPr>
              <w:t>预算数为“三公”经费年初预算数，决算数是包括当年一般公共预算财政拨款和以前年度结转资金安排的实际支出。</w:t>
            </w:r>
            <w:r>
              <w:rPr>
                <w:rStyle w:val="11"/>
                <w:rFonts w:ascii="宋体" w:hAnsi="宋体" w:eastAsia="宋体"/>
                <w:i w:val="0"/>
                <w:color w:val="000000"/>
                <w:kern w:val="0"/>
                <w:sz w:val="20"/>
                <w:szCs w:val="20"/>
                <w:lang w:val="en-US" w:eastAsia="zh-CN"/>
              </w:rPr>
              <w:t>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2098" w:right="1474" w:bottom="1984" w:left="1587" w:header="720" w:footer="720" w:gutter="0"/>
          <w:lnNumType w:countBy="0"/>
          <w:cols w:space="720" w:num="1"/>
          <w:vAlign w:val="top"/>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536"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926"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1926" w:type="dxa"/>
            <w:vMerge w:val="restart"/>
            <w:tcBorders>
              <w:top w:val="single" w:color="000000" w:sz="8" w:space="0"/>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本年收入</w:t>
            </w:r>
          </w:p>
        </w:tc>
        <w:tc>
          <w:tcPr>
            <w:tcW w:w="5779" w:type="dxa"/>
            <w:gridSpan w:val="3"/>
            <w:tcBorders>
              <w:top w:val="single" w:color="000000" w:sz="8" w:space="0"/>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0"/>
                <w:sz w:val="20"/>
                <w:szCs w:val="20"/>
                <w:lang w:val="en-US" w:eastAsia="zh-CN"/>
              </w:rPr>
            </w:pPr>
            <w:r>
              <w:rPr>
                <w:rStyle w:val="11"/>
                <w:rFonts w:ascii="宋体" w:hAnsi="宋体" w:eastAsia="宋体"/>
                <w:i w:val="0"/>
                <w:color w:val="000000"/>
                <w:kern w:val="0"/>
                <w:sz w:val="20"/>
                <w:szCs w:val="20"/>
                <w:lang w:val="en-US" w:eastAsia="zh-CN"/>
              </w:rPr>
              <w:t>功能分类</w:t>
            </w:r>
          </w:p>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926" w:type="dxa"/>
            <w:vMerge w:val="continue"/>
            <w:tcBorders>
              <w:top w:val="single" w:color="000000" w:sz="8"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小计</w:t>
            </w:r>
          </w:p>
        </w:tc>
        <w:tc>
          <w:tcPr>
            <w:tcW w:w="192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基本支出</w:t>
            </w:r>
          </w:p>
        </w:tc>
        <w:tc>
          <w:tcPr>
            <w:tcW w:w="1926" w:type="dxa"/>
            <w:vMerge w:val="restart"/>
            <w:tcBorders>
              <w:top w:val="nil"/>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栏次</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926" w:type="dxa"/>
            <w:tcBorders>
              <w:top w:val="single" w:color="000000" w:sz="4" w:space="0"/>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933"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注：本表反映部门本年度政府性基金预算财政拨款收入、支出及结转和结余情况。</w:t>
            </w:r>
          </w:p>
        </w:tc>
      </w:tr>
    </w:tbl>
    <w:p>
      <w:pPr>
        <w:jc w:val="center"/>
        <w:textAlignment w:val="baseline"/>
        <w:rPr>
          <w:rStyle w:val="11"/>
          <w:rFonts w:ascii="仿宋_GB2312" w:hAnsi="仿宋_GB2312" w:eastAsia="仿宋_GB2312"/>
          <w:color w:val="000000"/>
          <w:kern w:val="2"/>
          <w:sz w:val="32"/>
          <w:szCs w:val="32"/>
          <w:highlight w:val="yellow"/>
          <w:lang w:val="en-US" w:eastAsia="zh-CN" w:bidi="ar-SA"/>
        </w:rPr>
        <w:sectPr>
          <w:pgSz w:w="16838" w:h="11906"/>
          <w:pgMar w:top="1800" w:right="1440" w:bottom="1800" w:left="1440" w:header="720" w:footer="720" w:gutter="0"/>
          <w:lnNumType w:countBy="0"/>
          <w:cols w:space="720" w:num="1"/>
          <w:vAlign w:val="top"/>
          <w:docGrid w:type="lines" w:linePitch="312" w:charSpace="0"/>
        </w:sectPr>
      </w:pPr>
      <w:r>
        <w:rPr>
          <w:rStyle w:val="11"/>
          <w:rFonts w:ascii="仿宋_GB2312" w:hAnsi="仿宋_GB2312" w:eastAsia="仿宋_GB2312"/>
          <w:color w:val="000000"/>
          <w:kern w:val="2"/>
          <w:sz w:val="32"/>
          <w:szCs w:val="32"/>
          <w:highlight w:val="yellow"/>
          <w:lang w:val="en-US" w:eastAsia="zh-CN" w:bidi="ar-SA"/>
        </w:rPr>
        <w:t>说明：我部门没有政府性基金收入，也没有使用政府性基金安排的支出，故本表无数据。</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t>第三部分  2018年度部门决算情况说明</w:t>
      </w:r>
    </w:p>
    <w:p>
      <w:pPr>
        <w:widowControl/>
        <w:jc w:val="left"/>
        <w:textAlignment w:val="baseline"/>
        <w:rPr>
          <w:rStyle w:val="11"/>
          <w:rFonts w:ascii="黑体" w:hAnsi="黑体" w:eastAsia="黑体"/>
          <w:color w:val="000000"/>
          <w:kern w:val="2"/>
          <w:sz w:val="48"/>
          <w:szCs w:val="48"/>
          <w:lang w:val="en-US" w:eastAsia="zh-CN" w:bidi="ar-SA"/>
        </w:rPr>
        <w:sectPr>
          <w:pgSz w:w="11906" w:h="16838"/>
          <w:pgMar w:top="1440" w:right="1800" w:bottom="1440" w:left="1800" w:header="720" w:footer="720" w:gutter="0"/>
          <w:lnNumType w:countBy="0"/>
          <w:cols w:space="720" w:num="1"/>
          <w:vAlign w:val="top"/>
          <w:docGrid w:type="lines" w:linePitch="312" w:charSpace="0"/>
        </w:sect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一、收入支出决算总体情况说明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2018年度收、支总计均为2090.86万元。与上年度相比，收、支总计各增加581.51万元，增长38.53%。主要原因是2018年单位进行了改革，纳入财政全额供给，纳入决算的人员及办公经费大幅增加。</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二、收入决算情况说明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2018年度收入合计2090.86万元，其中：财政拨款收入2090.86万元，占100%。</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三、支出决算情况说明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2018年度支出合计2090.86万元，其中：基本支出1213.31万元，占58.03%；项目支出877.55万元，占41.97%。</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四、财政拨款收入支出决算总体情况说明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2018年度财政拨款收、支总计均为2090.86万元。与上年度相比，财政拨款收、支总计各增加581.51万元，增长38.53%。主要原因是2018年单位进行了改革，纳入财政全额供给，纳入决算的人员及办公经费大幅增加。。</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五、一般公共预算财政拨款支出决算情况说明</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（一）总体情况。</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一般公共预算财政拨款支出2090.86万元，占本年支出合计的100%。与上年度相比，一般公共预算财政拨款支出增加581.51万元，增长38.53%。主要原因是2018年单位进行了改革，纳入财政全额供给，纳入决算的人员及办公经费大幅增加。</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（二）结构情况。</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一般公共预算财政拨款支出2090.86万元，主要用于以下方面：社会保障和就业支出100.7万元，占4.82%；医疗卫生与计划生育支出39.95万元，占1.91%；农林水支出1890.28万元，占90.41%；住房保障支出59.93万元，占2.87%。</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（三）具体情况。</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2018年度一般公共预算财政拨款支出年初预算为849.35万元，支出决算为2090.86万元，完成年初预算的246.17%。其中：</w:t>
      </w:r>
    </w:p>
    <w:p>
      <w:pPr>
        <w:widowControl/>
        <w:numPr>
          <w:ilvl w:val="0"/>
          <w:numId w:val="2"/>
        </w:numPr>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社会保障和就业（类）行政事业单位离退休（款）</w:t>
      </w:r>
      <w:r>
        <w:rPr>
          <w:rStyle w:val="11"/>
          <w:rFonts w:ascii="仿宋_GB2312" w:hAnsi="仿宋_GB2312" w:eastAsia="仿宋_GB2312" w:cs="仿宋_GB2312"/>
          <w:b/>
          <w:bCs/>
          <w:color w:val="000000"/>
          <w:kern w:val="2"/>
          <w:sz w:val="32"/>
          <w:szCs w:val="32"/>
          <w:lang w:val="en-US" w:eastAsia="zh-CN" w:bidi="ar-SA"/>
        </w:rPr>
        <w:t>机关事业单位基本养老保险缴费</w:t>
      </w:r>
      <w:r>
        <w:rPr>
          <w:rStyle w:val="11"/>
          <w:rFonts w:hint="eastAsia" w:ascii="仿宋_GB2312" w:hAnsi="仿宋_GB2312" w:eastAsia="仿宋_GB2312" w:cs="仿宋_GB2312"/>
          <w:b/>
          <w:bCs/>
          <w:color w:val="000000"/>
          <w:kern w:val="2"/>
          <w:sz w:val="32"/>
          <w:szCs w:val="32"/>
          <w:lang w:val="en-US" w:eastAsia="zh-CN" w:bidi="ar-SA"/>
        </w:rPr>
        <w:t>（项）</w:t>
      </w:r>
      <w:r>
        <w:rPr>
          <w:rStyle w:val="11"/>
          <w:rFonts w:ascii="仿宋_GB2312" w:hAnsi="仿宋_GB2312" w:eastAsia="仿宋_GB2312" w:cs="仿宋_GB2312"/>
          <w:b/>
          <w:bCs/>
          <w:color w:val="000000"/>
          <w:kern w:val="2"/>
          <w:sz w:val="32"/>
          <w:szCs w:val="32"/>
          <w:lang w:val="en-US" w:eastAsia="zh-CN" w:bidi="ar-SA"/>
        </w:rPr>
        <w:t>支出</w:t>
      </w:r>
      <w:r>
        <w:rPr>
          <w:rStyle w:val="11"/>
          <w:rFonts w:ascii="仿宋_GB2312" w:hAnsi="仿宋_GB2312" w:eastAsia="仿宋_GB2312"/>
          <w:color w:val="000000"/>
          <w:kern w:val="2"/>
          <w:sz w:val="32"/>
          <w:szCs w:val="32"/>
          <w:lang w:val="en-US" w:eastAsia="zh-CN" w:bidi="ar-SA"/>
        </w:rPr>
        <w:t>年初预算为99.89万元，支出决算为99.89万元，完成年初预算的100%。</w:t>
      </w:r>
    </w:p>
    <w:p>
      <w:pPr>
        <w:widowControl/>
        <w:numPr>
          <w:ilvl w:val="0"/>
          <w:numId w:val="2"/>
        </w:numPr>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社会保障和就业（类）退役和安置（款）</w:t>
      </w:r>
      <w:r>
        <w:rPr>
          <w:rStyle w:val="11"/>
          <w:rFonts w:ascii="仿宋_GB2312" w:hAnsi="仿宋_GB2312" w:eastAsia="仿宋_GB2312" w:cs="仿宋_GB2312"/>
          <w:b/>
          <w:bCs/>
          <w:color w:val="000000"/>
          <w:kern w:val="2"/>
          <w:sz w:val="32"/>
          <w:szCs w:val="32"/>
          <w:lang w:val="en-US" w:eastAsia="zh-CN" w:bidi="ar-SA"/>
        </w:rPr>
        <w:t>退役士兵安置</w:t>
      </w:r>
      <w:r>
        <w:rPr>
          <w:rStyle w:val="11"/>
          <w:rFonts w:hint="eastAsia" w:ascii="仿宋_GB2312" w:hAnsi="仿宋_GB2312" w:eastAsia="仿宋_GB2312" w:cs="仿宋_GB2312"/>
          <w:b/>
          <w:bCs/>
          <w:color w:val="000000"/>
          <w:kern w:val="2"/>
          <w:sz w:val="32"/>
          <w:szCs w:val="32"/>
          <w:lang w:val="en-US" w:eastAsia="zh-CN" w:bidi="ar-SA"/>
        </w:rPr>
        <w:t>（项）</w:t>
      </w:r>
      <w:r>
        <w:rPr>
          <w:rStyle w:val="11"/>
          <w:rFonts w:ascii="仿宋_GB2312" w:hAnsi="仿宋_GB2312" w:eastAsia="仿宋_GB2312" w:cs="仿宋_GB2312"/>
          <w:b/>
          <w:bCs/>
          <w:color w:val="000000"/>
          <w:kern w:val="2"/>
          <w:sz w:val="32"/>
          <w:szCs w:val="32"/>
          <w:lang w:val="en-US" w:eastAsia="zh-CN" w:bidi="ar-SA"/>
        </w:rPr>
        <w:t>支出</w:t>
      </w:r>
      <w:r>
        <w:rPr>
          <w:rStyle w:val="11"/>
          <w:rFonts w:ascii="仿宋_GB2312" w:hAnsi="仿宋_GB2312" w:eastAsia="仿宋_GB2312"/>
          <w:color w:val="000000"/>
          <w:kern w:val="2"/>
          <w:sz w:val="32"/>
          <w:szCs w:val="32"/>
          <w:lang w:val="en-US" w:eastAsia="zh-CN" w:bidi="ar-SA"/>
        </w:rPr>
        <w:t>年初预算为0万元，支出决算为0.81万元。决算数与年初预算数存在差异的主要原因是年初未将退役士兵生活安置费列入预算。</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hint="default" w:ascii="仿宋_GB2312" w:hAnsi="仿宋_GB2312" w:eastAsia="仿宋_GB2312" w:cs="仿宋_GB2312"/>
          <w:b/>
          <w:bCs/>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3、医疗卫生与计划生育（类）行政事业单位医疗（款）事业单位医疗（项）</w:t>
      </w:r>
      <w:r>
        <w:rPr>
          <w:rStyle w:val="11"/>
          <w:rFonts w:hint="eastAsia" w:ascii="仿宋_GB2312" w:hAnsi="仿宋_GB2312" w:eastAsia="仿宋_GB2312" w:cs="仿宋_GB2312"/>
          <w:b w:val="0"/>
          <w:bCs w:val="0"/>
          <w:color w:val="000000"/>
          <w:kern w:val="2"/>
          <w:sz w:val="32"/>
          <w:szCs w:val="32"/>
          <w:lang w:val="en-US" w:eastAsia="zh-CN" w:bidi="ar-SA"/>
        </w:rPr>
        <w:t>年初预算支出39.95万元，支出决算为39.95万元，完成年初预算的100%。</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4</w:t>
      </w:r>
      <w:r>
        <w:rPr>
          <w:rStyle w:val="11"/>
          <w:rFonts w:ascii="仿宋_GB2312" w:hAnsi="仿宋_GB2312" w:eastAsia="仿宋_GB2312" w:cs="仿宋_GB2312"/>
          <w:b/>
          <w:bCs/>
          <w:color w:val="000000"/>
          <w:kern w:val="2"/>
          <w:sz w:val="32"/>
          <w:szCs w:val="32"/>
          <w:lang w:val="en-US" w:eastAsia="zh-CN" w:bidi="ar-SA"/>
        </w:rPr>
        <w:t>、</w:t>
      </w:r>
      <w:r>
        <w:rPr>
          <w:rStyle w:val="11"/>
          <w:rFonts w:hint="eastAsia" w:ascii="仿宋_GB2312" w:hAnsi="仿宋_GB2312" w:eastAsia="仿宋_GB2312" w:cs="仿宋_GB2312"/>
          <w:b/>
          <w:bCs/>
          <w:color w:val="000000"/>
          <w:kern w:val="2"/>
          <w:sz w:val="32"/>
          <w:szCs w:val="32"/>
          <w:lang w:val="en-US" w:eastAsia="zh-CN" w:bidi="ar-SA"/>
        </w:rPr>
        <w:t>农林水支出（类）林业（款）</w:t>
      </w:r>
      <w:r>
        <w:rPr>
          <w:rStyle w:val="11"/>
          <w:rFonts w:ascii="仿宋_GB2312" w:hAnsi="仿宋_GB2312" w:eastAsia="仿宋_GB2312" w:cs="仿宋_GB2312"/>
          <w:b/>
          <w:bCs/>
          <w:color w:val="000000"/>
          <w:kern w:val="2"/>
          <w:sz w:val="32"/>
          <w:szCs w:val="32"/>
          <w:lang w:val="en-US" w:eastAsia="zh-CN" w:bidi="ar-SA"/>
        </w:rPr>
        <w:t>林业自然保护区</w:t>
      </w:r>
      <w:r>
        <w:rPr>
          <w:rStyle w:val="11"/>
          <w:rFonts w:hint="eastAsia" w:ascii="仿宋_GB2312" w:hAnsi="仿宋_GB2312" w:eastAsia="仿宋_GB2312" w:cs="仿宋_GB2312"/>
          <w:b/>
          <w:bCs/>
          <w:color w:val="000000"/>
          <w:kern w:val="2"/>
          <w:sz w:val="32"/>
          <w:szCs w:val="32"/>
          <w:lang w:val="en-US" w:eastAsia="zh-CN" w:bidi="ar-SA"/>
        </w:rPr>
        <w:t>（项）</w:t>
      </w:r>
      <w:r>
        <w:rPr>
          <w:rStyle w:val="11"/>
          <w:rFonts w:ascii="仿宋_GB2312" w:hAnsi="仿宋_GB2312" w:eastAsia="仿宋_GB2312" w:cs="仿宋_GB2312"/>
          <w:b/>
          <w:bCs/>
          <w:color w:val="000000"/>
          <w:kern w:val="2"/>
          <w:sz w:val="32"/>
          <w:szCs w:val="32"/>
          <w:lang w:val="en-US" w:eastAsia="zh-CN" w:bidi="ar-SA"/>
        </w:rPr>
        <w:t>支出</w:t>
      </w:r>
      <w:r>
        <w:rPr>
          <w:rStyle w:val="11"/>
          <w:rFonts w:ascii="仿宋_GB2312" w:hAnsi="仿宋_GB2312" w:eastAsia="仿宋_GB2312"/>
          <w:color w:val="000000"/>
          <w:kern w:val="2"/>
          <w:sz w:val="32"/>
          <w:szCs w:val="32"/>
          <w:lang w:val="en-US" w:eastAsia="zh-CN" w:bidi="ar-SA"/>
        </w:rPr>
        <w:t>年初预算为648.77万元，支出决算为1890.28万元。完成年初预算的291.36%。决算数与年初预算数存在巨大差异的主要原因是年初未将项目支出列入预算。</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5、住房保障（类）住房改革（款）</w:t>
      </w:r>
      <w:r>
        <w:rPr>
          <w:rStyle w:val="11"/>
          <w:rFonts w:ascii="仿宋_GB2312" w:hAnsi="仿宋_GB2312" w:eastAsia="仿宋_GB2312" w:cs="仿宋_GB2312"/>
          <w:b/>
          <w:bCs/>
          <w:color w:val="000000"/>
          <w:kern w:val="2"/>
          <w:sz w:val="32"/>
          <w:szCs w:val="32"/>
          <w:lang w:val="en-US" w:eastAsia="zh-CN" w:bidi="ar-SA"/>
        </w:rPr>
        <w:t>住房公积金</w:t>
      </w:r>
      <w:r>
        <w:rPr>
          <w:rStyle w:val="11"/>
          <w:rFonts w:hint="eastAsia" w:ascii="仿宋_GB2312" w:hAnsi="仿宋_GB2312" w:eastAsia="仿宋_GB2312" w:cs="仿宋_GB2312"/>
          <w:b/>
          <w:bCs/>
          <w:color w:val="000000"/>
          <w:kern w:val="2"/>
          <w:sz w:val="32"/>
          <w:szCs w:val="32"/>
          <w:lang w:val="en-US" w:eastAsia="zh-CN" w:bidi="ar-SA"/>
        </w:rPr>
        <w:t>（项）</w:t>
      </w:r>
      <w:r>
        <w:rPr>
          <w:rStyle w:val="11"/>
          <w:rFonts w:ascii="仿宋_GB2312" w:hAnsi="仿宋_GB2312" w:eastAsia="仿宋_GB2312" w:cs="仿宋_GB2312"/>
          <w:b/>
          <w:bCs/>
          <w:color w:val="000000"/>
          <w:kern w:val="2"/>
          <w:sz w:val="32"/>
          <w:szCs w:val="32"/>
          <w:lang w:val="en-US" w:eastAsia="zh-CN" w:bidi="ar-SA"/>
        </w:rPr>
        <w:t>支出</w:t>
      </w:r>
      <w:r>
        <w:rPr>
          <w:rStyle w:val="11"/>
          <w:rFonts w:ascii="仿宋_GB2312" w:hAnsi="仿宋_GB2312" w:eastAsia="仿宋_GB2312"/>
          <w:color w:val="000000"/>
          <w:kern w:val="2"/>
          <w:sz w:val="32"/>
          <w:szCs w:val="32"/>
          <w:lang w:val="en-US" w:eastAsia="zh-CN" w:bidi="ar-SA"/>
        </w:rPr>
        <w:t>年初预算数为59.93万元，支出决算数为59.93万元，完成年初预算的100%。</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六、一般公共预算财政拨款基本支出决算情况说明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一般公共预算财政拨款基本支出1213.31万元。其中：人员经费939.83万元，主要包括：基本工资、津贴补贴、奖金、绩效工资、机关事业单位基本养老保险缴费、职业年金缴费、职工基本医疗保险缴费、退役费、抚恤金、生活补助、住房公积金、其他对个人和家庭的补助支出等；公用经费273.48万元，主要包括：办公费、咨询费、水费、电费、邮电费、差旅费、维修（护）费、租赁费、会议费、培训费、公务接待费、专用材料费、劳务费、工会经费、福利费、公务用车运行维护费、其他商品和服务支出、办公设备购置等。</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七、一般公共预算财政拨款“三公”经费支出决算情况说明</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（一）“三公”经费财政拨款支出决算总体情况说明。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三公”经费财政拨款支出预算为20万元，支出决算为17.54万元，完成预算的87.7%。2018年度“三公”经费支出决算数与预算数存在差异的主要原因是公务用车运行经费压缩了1.77万元，公务接待费压缩了0.69万元。</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（二）“三公”经费财政拨款支出决算具体情况说明。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三公”经费财政拨款支出决算中，因公出国（境）费支出决算0万元；公务用车购置及运行费支出决算13.23万元，完成预算的88.2%，占75.43%；公务接待费支出决算4.31万元，完成预算的86.2%，占24.57%。具体情况如下：</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u w:val="none"/>
          <w:lang w:val="en-US" w:eastAsia="zh-CN" w:bidi="ar-SA"/>
        </w:rPr>
      </w:pPr>
      <w:r>
        <w:rPr>
          <w:rStyle w:val="11"/>
          <w:rFonts w:ascii="仿宋_GB2312" w:hAnsi="仿宋_GB2312" w:eastAsia="仿宋_GB2312" w:cs="仿宋_GB2312"/>
          <w:b/>
          <w:bCs/>
          <w:color w:val="000000"/>
          <w:kern w:val="2"/>
          <w:sz w:val="32"/>
          <w:szCs w:val="32"/>
          <w:lang w:val="en-US" w:eastAsia="zh-CN" w:bidi="ar-SA"/>
        </w:rPr>
        <w:t>1．因公出国（境）费</w:t>
      </w:r>
      <w:r>
        <w:rPr>
          <w:rStyle w:val="11"/>
          <w:rFonts w:ascii="仿宋_GB2312" w:hAnsi="仿宋_GB2312" w:eastAsia="仿宋_GB2312"/>
          <w:color w:val="000000"/>
          <w:kern w:val="2"/>
          <w:sz w:val="32"/>
          <w:szCs w:val="32"/>
          <w:lang w:val="en-US" w:eastAsia="zh-CN" w:bidi="ar-SA"/>
        </w:rPr>
        <w:t>年初预算为0万元，支出决算为0万元。</w:t>
      </w:r>
      <w:r>
        <w:rPr>
          <w:rStyle w:val="11"/>
          <w:rFonts w:ascii="仿宋_GB2312" w:hAnsi="仿宋_GB2312" w:eastAsia="仿宋_GB2312"/>
          <w:color w:val="000000"/>
          <w:kern w:val="2"/>
          <w:sz w:val="32"/>
          <w:szCs w:val="32"/>
          <w:u w:val="none"/>
          <w:lang w:val="en-US" w:eastAsia="zh-CN" w:bidi="ar-SA"/>
        </w:rPr>
        <w:t>全年因公出国（境）团组0个，累计0人次。</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2．公务用车购置及运行费</w:t>
      </w:r>
      <w:r>
        <w:rPr>
          <w:rStyle w:val="11"/>
          <w:rFonts w:ascii="仿宋_GB2312" w:hAnsi="仿宋_GB2312" w:eastAsia="仿宋_GB2312"/>
          <w:b w:val="0"/>
          <w:bCs w:val="0"/>
          <w:color w:val="000000"/>
          <w:kern w:val="2"/>
          <w:sz w:val="32"/>
          <w:szCs w:val="32"/>
          <w:u w:val="none"/>
          <w:lang w:val="en-US" w:eastAsia="zh-CN" w:bidi="ar-SA"/>
        </w:rPr>
        <w:t>年</w:t>
      </w:r>
      <w:r>
        <w:rPr>
          <w:rStyle w:val="11"/>
          <w:rFonts w:ascii="仿宋_GB2312" w:hAnsi="仿宋_GB2312" w:eastAsia="仿宋_GB2312"/>
          <w:color w:val="000000"/>
          <w:kern w:val="2"/>
          <w:sz w:val="32"/>
          <w:szCs w:val="32"/>
          <w:lang w:val="en-US" w:eastAsia="zh-CN" w:bidi="ar-SA"/>
        </w:rPr>
        <w:t>初预算为15万元，支出决算为13.72万元，完成年初预算的91.47%。决算数与年初预算数存在差异的主要原因是公务用车运行费经过压缩，减少了1.77万元。其中：</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公务用车购置支出</w:t>
      </w:r>
      <w:r>
        <w:rPr>
          <w:rStyle w:val="11"/>
          <w:rFonts w:ascii="仿宋_GB2312" w:hAnsi="仿宋_GB2312" w:eastAsia="仿宋_GB2312"/>
          <w:color w:val="000000"/>
          <w:kern w:val="2"/>
          <w:sz w:val="32"/>
          <w:szCs w:val="32"/>
          <w:lang w:val="en-US" w:eastAsia="zh-CN" w:bidi="ar-SA"/>
        </w:rPr>
        <w:t>为0万元</w:t>
      </w:r>
      <w:r>
        <w:rPr>
          <w:rStyle w:val="11"/>
          <w:rFonts w:hint="eastAsia" w:ascii="仿宋_GB2312" w:hAnsi="仿宋_GB2312" w:eastAsia="仿宋_GB2312"/>
          <w:color w:val="000000"/>
          <w:kern w:val="2"/>
          <w:sz w:val="32"/>
          <w:szCs w:val="32"/>
          <w:lang w:val="en-US" w:eastAsia="zh-CN" w:bidi="ar-SA"/>
        </w:rPr>
        <w:t>，购置数量为0辆</w:t>
      </w:r>
      <w:r>
        <w:rPr>
          <w:rStyle w:val="11"/>
          <w:rFonts w:ascii="仿宋_GB2312" w:hAnsi="仿宋_GB2312" w:eastAsia="仿宋_GB2312"/>
          <w:color w:val="000000"/>
          <w:kern w:val="2"/>
          <w:sz w:val="32"/>
          <w:szCs w:val="32"/>
          <w:lang w:val="en-US" w:eastAsia="zh-CN" w:bidi="ar-SA"/>
        </w:rPr>
        <w:t>。</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公务用车运行支出</w:t>
      </w:r>
      <w:r>
        <w:rPr>
          <w:rStyle w:val="11"/>
          <w:rFonts w:ascii="仿宋_GB2312" w:hAnsi="仿宋_GB2312" w:eastAsia="仿宋_GB2312"/>
          <w:color w:val="000000"/>
          <w:kern w:val="2"/>
          <w:sz w:val="32"/>
          <w:szCs w:val="32"/>
          <w:lang w:val="en-US" w:eastAsia="zh-CN" w:bidi="ar-SA"/>
        </w:rPr>
        <w:t>13.23万元。主要用于车辆燃油费、维修保养、车辆保险及过桥过路费。2018年期末，部门开支财政拨款的公务用车保有量为4辆。</w:t>
      </w:r>
    </w:p>
    <w:p>
      <w:pPr>
        <w:widowControl/>
        <w:numPr>
          <w:ilvl w:val="0"/>
          <w:numId w:val="0"/>
        </w:numPr>
        <w:kinsoku/>
        <w:wordWrap/>
        <w:overflowPunct/>
        <w:autoSpaceDE/>
        <w:autoSpaceDN/>
        <w:bidi w:val="0"/>
        <w:spacing w:line="590" w:lineRule="exact"/>
        <w:ind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3.公务接待费</w:t>
      </w:r>
      <w:r>
        <w:rPr>
          <w:rStyle w:val="11"/>
          <w:rFonts w:ascii="仿宋_GB2312" w:hAnsi="仿宋_GB2312" w:eastAsia="仿宋_GB2312"/>
          <w:b w:val="0"/>
          <w:bCs w:val="0"/>
          <w:color w:val="000000"/>
          <w:kern w:val="2"/>
          <w:sz w:val="32"/>
          <w:szCs w:val="32"/>
          <w:u w:val="dotDash"/>
          <w:lang w:val="en-US" w:eastAsia="zh-CN" w:bidi="ar-SA"/>
        </w:rPr>
        <w:t>年</w:t>
      </w:r>
      <w:r>
        <w:rPr>
          <w:rStyle w:val="11"/>
          <w:rFonts w:ascii="仿宋_GB2312" w:hAnsi="仿宋_GB2312" w:eastAsia="仿宋_GB2312"/>
          <w:color w:val="000000"/>
          <w:kern w:val="2"/>
          <w:sz w:val="32"/>
          <w:szCs w:val="32"/>
          <w:lang w:val="en-US" w:eastAsia="zh-CN" w:bidi="ar-SA"/>
        </w:rPr>
        <w:t>初预算为5万元，支出决算为4.31万元，完成年初预算的86.2%。决算数与年初预算数存在差异的主要原因是压缩了公务接待费0.69万元。其中：</w:t>
      </w:r>
    </w:p>
    <w:p>
      <w:pPr>
        <w:widowControl/>
        <w:numPr>
          <w:ilvl w:val="0"/>
          <w:numId w:val="0"/>
        </w:numPr>
        <w:kinsoku/>
        <w:wordWrap/>
        <w:overflowPunct/>
        <w:autoSpaceDE/>
        <w:autoSpaceDN/>
        <w:bidi w:val="0"/>
        <w:spacing w:line="590" w:lineRule="exact"/>
        <w:ind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外宾接待支出</w:t>
      </w:r>
      <w:r>
        <w:rPr>
          <w:rStyle w:val="11"/>
          <w:rFonts w:hint="eastAsia" w:ascii="仿宋_GB2312" w:hAnsi="仿宋_GB2312" w:eastAsia="仿宋_GB2312" w:cs="仿宋_GB2312"/>
          <w:b/>
          <w:bCs/>
          <w:color w:val="000000"/>
          <w:kern w:val="2"/>
          <w:sz w:val="32"/>
          <w:szCs w:val="32"/>
          <w:lang w:val="en-US" w:eastAsia="zh-CN" w:bidi="ar-SA"/>
        </w:rPr>
        <w:t>组团数及人数为0个，支出数</w:t>
      </w:r>
      <w:r>
        <w:rPr>
          <w:rStyle w:val="11"/>
          <w:rFonts w:ascii="仿宋_GB2312" w:hAnsi="仿宋_GB2312" w:eastAsia="仿宋_GB2312"/>
          <w:color w:val="000000"/>
          <w:kern w:val="2"/>
          <w:sz w:val="32"/>
          <w:szCs w:val="32"/>
          <w:lang w:val="en-US" w:eastAsia="zh-CN" w:bidi="ar-SA"/>
        </w:rPr>
        <w:t>0万元。</w:t>
      </w:r>
    </w:p>
    <w:p>
      <w:pPr>
        <w:widowControl/>
        <w:numPr>
          <w:ilvl w:val="0"/>
          <w:numId w:val="0"/>
        </w:numPr>
        <w:kinsoku/>
        <w:wordWrap/>
        <w:overflowPunct/>
        <w:autoSpaceDE/>
        <w:autoSpaceDN/>
        <w:bidi w:val="0"/>
        <w:spacing w:line="590" w:lineRule="exact"/>
        <w:ind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其他国内公务接待支出</w:t>
      </w:r>
      <w:r>
        <w:rPr>
          <w:rStyle w:val="11"/>
          <w:rFonts w:ascii="仿宋_GB2312" w:hAnsi="仿宋_GB2312" w:eastAsia="仿宋_GB2312"/>
          <w:color w:val="000000"/>
          <w:kern w:val="2"/>
          <w:sz w:val="32"/>
          <w:szCs w:val="32"/>
          <w:lang w:val="en-US" w:eastAsia="zh-CN" w:bidi="ar-SA"/>
        </w:rPr>
        <w:t>4.31万元。主要用于上级政府及业务主管部门公务接待。2018年共接待国内来访团组185个、来宾869人次（不包括陪同人员）。</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八、预算绩效情况说明</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（一）绩效管理工作开展情况。</w:t>
      </w:r>
    </w:p>
    <w:p>
      <w:pPr>
        <w:widowControl/>
        <w:ind w:firstLine="750" w:firstLineChars="250"/>
        <w:jc w:val="left"/>
        <w:textAlignment w:val="baseline"/>
        <w:rPr>
          <w:rStyle w:val="11"/>
          <w:rFonts w:ascii="仿宋" w:hAnsi="仿宋" w:eastAsia="仿宋"/>
          <w:kern w:val="2"/>
          <w:sz w:val="32"/>
          <w:szCs w:val="32"/>
          <w:lang w:val="en-US" w:eastAsia="zh-CN" w:bidi="ar-SA"/>
        </w:rPr>
      </w:pPr>
      <w:r>
        <w:rPr>
          <w:rStyle w:val="11"/>
          <w:rFonts w:ascii="仿宋" w:hAnsi="仿宋" w:eastAsia="仿宋"/>
          <w:kern w:val="2"/>
          <w:sz w:val="30"/>
          <w:szCs w:val="30"/>
          <w:lang w:val="en-US" w:eastAsia="zh-CN" w:bidi="ar-SA"/>
        </w:rPr>
        <w:t>结合县财政预算绩效管理，出台了相应的制度规定；建立了绩效管理的理念；同时也提高了财政资金的使用</w:t>
      </w:r>
      <w:r>
        <w:rPr>
          <w:rStyle w:val="11"/>
          <w:rFonts w:ascii="仿宋" w:hAnsi="仿宋" w:eastAsia="仿宋"/>
          <w:kern w:val="2"/>
          <w:sz w:val="32"/>
          <w:szCs w:val="32"/>
          <w:lang w:val="en-US" w:eastAsia="zh-CN" w:bidi="ar-SA"/>
        </w:rPr>
        <w:t>效益。</w:t>
      </w:r>
    </w:p>
    <w:p>
      <w:pPr>
        <w:widowControl/>
        <w:numPr>
          <w:ilvl w:val="0"/>
          <w:numId w:val="3"/>
        </w:numPr>
        <w:kinsoku/>
        <w:wordWrap/>
        <w:overflowPunct/>
        <w:autoSpaceDE/>
        <w:autoSpaceDN/>
        <w:bidi w:val="0"/>
        <w:spacing w:line="590" w:lineRule="exact"/>
        <w:ind w:left="0" w:leftChars="0" w:right="0" w:rightChars="0" w:firstLine="842" w:firstLineChars="262"/>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项目绩效自评结果。</w:t>
      </w:r>
    </w:p>
    <w:p>
      <w:pPr>
        <w:widowControl/>
        <w:numPr>
          <w:ilvl w:val="0"/>
          <w:numId w:val="0"/>
        </w:numPr>
        <w:kinsoku/>
        <w:wordWrap/>
        <w:overflowPunct/>
        <w:autoSpaceDE/>
        <w:autoSpaceDN/>
        <w:bidi w:val="0"/>
        <w:spacing w:line="590" w:lineRule="exact"/>
        <w:ind w:leftChars="200" w:right="0" w:rightChars="0" w:firstLine="640"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仿宋" w:hAnsi="仿宋" w:eastAsia="仿宋"/>
          <w:kern w:val="2"/>
          <w:sz w:val="32"/>
          <w:szCs w:val="32"/>
          <w:lang w:val="en-US" w:eastAsia="zh-CN" w:bidi="ar-SA"/>
        </w:rPr>
        <w:t>严格按照上级项目自评要求进行中央及省财政资金项目自评，2018年参与绩效自评的项目已达到省考核组要求。</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九、政府性基金预算财政拨款支出决算情况说明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2018年度，我部门没有政府性基金收入，也没有使用政府性基金安排的支出。</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十、机关运行经费支出情况说明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我单位不是行政单位，也不是参照公务员管理的事业单位，因此没机关运行经费。</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十一、政府采购支出情况说明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2018年度政府采购支出总额25.42万元，其中：政府采购货物支出25.42万元、政府采购工程支出0万元、政府采购服务支出0万元。授予中小企业合同金额25.42万元，占政府采购支出总额的100%，其中：授予小微企业合同金额25.42万元，占政府采购支出总额的100%。</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十二、国有资产占用情况说明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2018</w:t>
      </w:r>
      <w:r>
        <w:rPr>
          <w:rStyle w:val="11"/>
          <w:rFonts w:ascii="仿宋_GB2312" w:hAnsi="仿宋_GB2312" w:eastAsia="仿宋_GB2312"/>
          <w:color w:val="000000"/>
          <w:kern w:val="2"/>
          <w:sz w:val="32"/>
          <w:szCs w:val="32"/>
          <w:lang w:val="en-US" w:eastAsia="zh-CN" w:bidi="ar-SA"/>
        </w:rPr>
        <w:t>年期末，我部门共有车辆</w:t>
      </w:r>
      <w:r>
        <w:rPr>
          <w:rStyle w:val="11"/>
          <w:rFonts w:hint="eastAsia" w:ascii="仿宋_GB2312" w:hAnsi="仿宋_GB2312" w:eastAsia="仿宋_GB2312"/>
          <w:color w:val="000000"/>
          <w:kern w:val="2"/>
          <w:sz w:val="32"/>
          <w:szCs w:val="32"/>
          <w:lang w:val="en-US" w:eastAsia="zh-CN" w:bidi="ar-SA"/>
        </w:rPr>
        <w:t>4</w:t>
      </w:r>
      <w:r>
        <w:rPr>
          <w:rStyle w:val="11"/>
          <w:rFonts w:ascii="仿宋_GB2312" w:hAnsi="仿宋_GB2312" w:eastAsia="仿宋_GB2312"/>
          <w:color w:val="000000"/>
          <w:kern w:val="2"/>
          <w:sz w:val="32"/>
          <w:szCs w:val="32"/>
          <w:lang w:val="en-US" w:eastAsia="zh-CN" w:bidi="ar-SA"/>
        </w:rPr>
        <w:t>辆，其中：</w:t>
      </w:r>
      <w:r>
        <w:rPr>
          <w:rStyle w:val="11"/>
          <w:rFonts w:hint="eastAsia" w:ascii="仿宋_GB2312" w:hAnsi="仿宋_GB2312" w:eastAsia="仿宋_GB2312"/>
          <w:color w:val="000000"/>
          <w:kern w:val="2"/>
          <w:sz w:val="32"/>
          <w:szCs w:val="32"/>
          <w:lang w:val="en-US" w:eastAsia="zh-CN" w:bidi="ar-SA"/>
        </w:rPr>
        <w:t>一般公务用车1辆、一般执法执勤用车1辆，特种用途车2辆</w:t>
      </w:r>
      <w:r>
        <w:rPr>
          <w:rStyle w:val="11"/>
          <w:rFonts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olor w:val="000000"/>
          <w:kern w:val="2"/>
          <w:sz w:val="32"/>
          <w:szCs w:val="32"/>
          <w:lang w:val="en-US" w:eastAsia="zh-CN" w:bidi="ar-SA"/>
        </w:rPr>
        <w:t>单价50万元以上通用设备0套，单位价值100元以上专用设备0套。</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p>
    <w:p>
      <w:pPr>
        <w:numPr>
          <w:ilvl w:val="0"/>
          <w:numId w:val="4"/>
        </w:num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t xml:space="preserve"> 名词解释</w:t>
      </w:r>
    </w:p>
    <w:p>
      <w:pPr>
        <w:numPr>
          <w:ilvl w:val="0"/>
          <w:numId w:val="0"/>
        </w:numPr>
        <w:ind w:firstLine="640" w:firstLineChars="200"/>
        <w:jc w:val="both"/>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一、财政拨款收入：单位从同级政府财政部门取得的各类财政拨款。</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二、事业收入：事业单位开展专业业务活动及其辅助活动取得的收入。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三、上级补助收入：事业单位从主管部门和上级单位取得的非财政补助收入。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四、附属单位上缴收入：事业单位取得附属独立核算单位根据有关规定上缴的收入。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五、经营收入：事业单位在专业业务活动及其辅助活动之外开展非独立核算经营活动取得的收入。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六、其他收入：单位取得的除“财政拨款收入”、“事业收入”、“上级补助收入”、“附属单位上缴收入”、“经营收入”等以外的收入。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八、基本支出：为保障机构正常运转、完成日常工作任务而发生的人员支出和公用支出。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九、项目支出：基本支出之外为完成特定行政任务和事业发展目标所发生的支出。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十二、工资福利支出：单位支付给在职职工的各类劳动报酬，以及为上述人员缴纳的各项社会保险费等。</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十三、商品和服务支出：单位购买商品和服务的支出。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十四、对个人和家庭的补助支出：单位用于对个人和家庭的补助支出。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十五、年末结转：本年度或以前年度预算安排，已执行但尚未完成或因客观条件发生变化无法按原计划实施，需延迟到以后年度按有关规定继续使用的资金。</w:t>
      </w:r>
    </w:p>
    <w:p>
      <w:pPr>
        <w:ind w:firstLine="640" w:firstLineChars="200"/>
      </w:pPr>
      <w:r>
        <w:rPr>
          <w:rStyle w:val="11"/>
          <w:rFonts w:ascii="仿宋_GB2312" w:hAnsi="仿宋_GB2312" w:eastAsia="仿宋_GB2312"/>
          <w:kern w:val="2"/>
          <w:sz w:val="32"/>
          <w:szCs w:val="32"/>
          <w:lang w:val="en-US" w:eastAsia="zh-CN" w:bidi="ar-SA"/>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7AD0F"/>
    <w:multiLevelType w:val="singleLevel"/>
    <w:tmpl w:val="E0F7AD0F"/>
    <w:lvl w:ilvl="0" w:tentative="0">
      <w:start w:val="2"/>
      <w:numFmt w:val="chineseCounting"/>
      <w:suff w:val="nothing"/>
      <w:lvlText w:val="（%1）"/>
      <w:lvlJc w:val="left"/>
      <w:pPr>
        <w:widowControl/>
        <w:textAlignment w:val="baseline"/>
      </w:pPr>
      <w:rPr>
        <w:rStyle w:val="11"/>
      </w:rPr>
    </w:lvl>
  </w:abstractNum>
  <w:abstractNum w:abstractNumId="1">
    <w:nsid w:val="36011D80"/>
    <w:multiLevelType w:val="singleLevel"/>
    <w:tmpl w:val="36011D80"/>
    <w:lvl w:ilvl="0" w:tentative="0">
      <w:start w:val="1"/>
      <w:numFmt w:val="decimal"/>
      <w:suff w:val="nothing"/>
      <w:lvlText w:val="%1．"/>
      <w:lvlJc w:val="left"/>
      <w:pPr>
        <w:widowControl/>
        <w:textAlignment w:val="baseline"/>
      </w:pPr>
      <w:rPr>
        <w:rStyle w:val="11"/>
      </w:rPr>
    </w:lvl>
  </w:abstractNum>
  <w:abstractNum w:abstractNumId="2">
    <w:nsid w:val="5971BE17"/>
    <w:multiLevelType w:val="singleLevel"/>
    <w:tmpl w:val="5971BE17"/>
    <w:lvl w:ilvl="0" w:tentative="0">
      <w:start w:val="1"/>
      <w:numFmt w:val="chineseCounting"/>
      <w:suff w:val="nothing"/>
      <w:lvlText w:val="%1、"/>
      <w:lvlJc w:val="left"/>
      <w:pPr>
        <w:widowControl/>
        <w:textAlignment w:val="baseline"/>
      </w:pPr>
      <w:rPr>
        <w:rStyle w:val="11"/>
      </w:rPr>
    </w:lvl>
  </w:abstractNum>
  <w:abstractNum w:abstractNumId="3">
    <w:nsid w:val="66090060"/>
    <w:multiLevelType w:val="singleLevel"/>
    <w:tmpl w:val="66090060"/>
    <w:lvl w:ilvl="0" w:tentative="0">
      <w:start w:val="4"/>
      <w:numFmt w:val="chineseCounting"/>
      <w:suff w:val="space"/>
      <w:lvlText w:val="第%1部分"/>
      <w:lvlJc w:val="left"/>
      <w:pPr>
        <w:widowControl/>
        <w:textAlignment w:val="baseline"/>
      </w:pPr>
      <w:rPr>
        <w:rStyle w:val="11"/>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71CC7"/>
    <w:rsid w:val="02946478"/>
    <w:rsid w:val="05452F4C"/>
    <w:rsid w:val="06BC3AE7"/>
    <w:rsid w:val="07BF75FA"/>
    <w:rsid w:val="0EDD695E"/>
    <w:rsid w:val="143F3719"/>
    <w:rsid w:val="18DB7EB9"/>
    <w:rsid w:val="1DF25E5D"/>
    <w:rsid w:val="1EC5374D"/>
    <w:rsid w:val="22322BAC"/>
    <w:rsid w:val="2B2A772E"/>
    <w:rsid w:val="30DA1756"/>
    <w:rsid w:val="3D1B3A6E"/>
    <w:rsid w:val="4C8353E1"/>
    <w:rsid w:val="57B42D7F"/>
    <w:rsid w:val="59CE4EEC"/>
    <w:rsid w:val="5AFA7562"/>
    <w:rsid w:val="5EEC6627"/>
    <w:rsid w:val="6C7D0DBB"/>
    <w:rsid w:val="749135B7"/>
    <w:rsid w:val="769C35DF"/>
    <w:rsid w:val="7BF16E1B"/>
    <w:rsid w:val="7C4F2C0D"/>
    <w:rsid w:val="7ECC66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rPr>
      <w:rFonts w:ascii="仿宋" w:hAnsi="仿宋" w:eastAsia="仿宋" w:cs="仿宋"/>
      <w:sz w:val="32"/>
      <w:szCs w:val="32"/>
    </w:rPr>
  </w:style>
  <w:style w:type="paragraph" w:styleId="3">
    <w:name w:val="footer"/>
    <w:basedOn w:val="1"/>
    <w:link w:val="13"/>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14"/>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7">
    <w:name w:val="FollowedHyperlink"/>
    <w:link w:val="1"/>
    <w:qFormat/>
    <w:uiPriority w:val="0"/>
    <w:rPr>
      <w:color w:val="800080"/>
      <w:u w:val="single"/>
    </w:rPr>
  </w:style>
  <w:style w:type="character" w:styleId="8">
    <w:name w:val="Hyperlink"/>
    <w:link w:val="1"/>
    <w:qFormat/>
    <w:uiPriority w:val="0"/>
    <w:rPr>
      <w:color w:val="0000FF"/>
      <w:u w:val="single"/>
    </w:rPr>
  </w:style>
  <w:style w:type="paragraph" w:customStyle="1" w:styleId="9">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0">
    <w:name w:val="Heading3"/>
    <w:basedOn w:val="1"/>
    <w:next w:val="1"/>
    <w:qFormat/>
    <w:uiPriority w:val="0"/>
    <w:pPr>
      <w:spacing w:before="100" w:beforeAutospacing="1" w:after="100" w:afterAutospacing="1"/>
      <w:jc w:val="left"/>
      <w:textAlignment w:val="baseline"/>
    </w:pPr>
    <w:rPr>
      <w:rFonts w:ascii="宋体" w:hAnsi="宋体" w:eastAsia="宋体"/>
      <w:b/>
      <w:kern w:val="0"/>
      <w:sz w:val="27"/>
      <w:szCs w:val="27"/>
      <w:lang w:val="en-US" w:eastAsia="zh-CN"/>
    </w:rPr>
  </w:style>
  <w:style w:type="character" w:customStyle="1" w:styleId="11">
    <w:name w:val="NormalCharacter"/>
    <w:link w:val="1"/>
    <w:qFormat/>
    <w:uiPriority w:val="0"/>
  </w:style>
  <w:style w:type="table" w:customStyle="1" w:styleId="12">
    <w:name w:val="TableNormal"/>
    <w:qFormat/>
    <w:uiPriority w:val="0"/>
  </w:style>
  <w:style w:type="character" w:customStyle="1" w:styleId="13">
    <w:name w:val="UserStyle_0"/>
    <w:link w:val="3"/>
    <w:qFormat/>
    <w:uiPriority w:val="0"/>
    <w:rPr>
      <w:kern w:val="2"/>
      <w:sz w:val="18"/>
      <w:szCs w:val="18"/>
    </w:rPr>
  </w:style>
  <w:style w:type="character" w:customStyle="1" w:styleId="14">
    <w:name w:val="UserStyle_1"/>
    <w:link w:val="4"/>
    <w:qFormat/>
    <w:uiPriority w:val="0"/>
    <w:rPr>
      <w:kern w:val="2"/>
      <w:sz w:val="18"/>
      <w:szCs w:val="18"/>
    </w:rPr>
  </w:style>
  <w:style w:type="character" w:customStyle="1" w:styleId="15">
    <w:name w:val="UserStyle_2"/>
    <w:basedOn w:val="11"/>
    <w:link w:val="1"/>
    <w:qFormat/>
    <w:uiPriority w:val="0"/>
    <w:rPr>
      <w:rFonts w:ascii="宋体" w:hAnsi="宋体" w:eastAsia="宋体"/>
      <w:color w:val="000000"/>
      <w:sz w:val="24"/>
      <w:szCs w:val="24"/>
    </w:rPr>
  </w:style>
  <w:style w:type="character" w:customStyle="1" w:styleId="16">
    <w:name w:val="FootnoteReference"/>
    <w:basedOn w:val="11"/>
    <w:link w:val="1"/>
    <w:qFormat/>
    <w:uiPriority w:val="0"/>
    <w:rPr>
      <w:vertAlign w:val="superscript"/>
    </w:rPr>
  </w:style>
  <w:style w:type="character" w:customStyle="1" w:styleId="17">
    <w:name w:val="UserStyle_3"/>
    <w:basedOn w:val="11"/>
    <w:link w:val="1"/>
    <w:qFormat/>
    <w:uiPriority w:val="0"/>
    <w:rPr>
      <w:rFonts w:ascii="宋体" w:hAnsi="宋体" w:eastAsia="宋体"/>
      <w:color w:val="000000"/>
      <w:sz w:val="20"/>
      <w:szCs w:val="20"/>
    </w:rPr>
  </w:style>
  <w:style w:type="character" w:customStyle="1" w:styleId="18">
    <w:name w:val="UserStyle_4"/>
    <w:basedOn w:val="11"/>
    <w:link w:val="1"/>
    <w:qFormat/>
    <w:uiPriority w:val="0"/>
    <w:rPr>
      <w:rFonts w:ascii="宋体" w:hAnsi="宋体" w:eastAsia="宋体"/>
      <w:color w:val="000000"/>
      <w:sz w:val="22"/>
      <w:szCs w:val="22"/>
    </w:rPr>
  </w:style>
  <w:style w:type="character" w:customStyle="1" w:styleId="19">
    <w:name w:val="UserStyle_5"/>
    <w:basedOn w:val="11"/>
    <w:link w:val="20"/>
    <w:semiHidden/>
    <w:qFormat/>
    <w:uiPriority w:val="0"/>
    <w:rPr>
      <w:kern w:val="2"/>
      <w:sz w:val="18"/>
      <w:szCs w:val="18"/>
    </w:rPr>
  </w:style>
  <w:style w:type="paragraph" w:customStyle="1" w:styleId="20">
    <w:name w:val="Acetate"/>
    <w:basedOn w:val="1"/>
    <w:link w:val="19"/>
    <w:qFormat/>
    <w:uiPriority w:val="0"/>
    <w:pPr>
      <w:jc w:val="both"/>
      <w:textAlignment w:val="baseline"/>
    </w:pPr>
    <w:rPr>
      <w:kern w:val="2"/>
      <w:sz w:val="18"/>
      <w:szCs w:val="18"/>
      <w:lang w:val="en-US" w:eastAsia="zh-CN" w:bidi="ar-SA"/>
    </w:rPr>
  </w:style>
  <w:style w:type="character" w:customStyle="1" w:styleId="21">
    <w:name w:val="UserStyle_6"/>
    <w:basedOn w:val="11"/>
    <w:link w:val="1"/>
    <w:qFormat/>
    <w:uiPriority w:val="0"/>
    <w:rPr>
      <w:rFonts w:ascii="宋体" w:hAnsi="宋体" w:eastAsia="宋体"/>
      <w:color w:val="000000"/>
      <w:sz w:val="22"/>
      <w:szCs w:val="22"/>
    </w:rPr>
  </w:style>
  <w:style w:type="character" w:customStyle="1" w:styleId="22">
    <w:name w:val="UserStyle_7"/>
    <w:basedOn w:val="11"/>
    <w:link w:val="1"/>
    <w:qFormat/>
    <w:uiPriority w:val="0"/>
    <w:rPr>
      <w:rFonts w:ascii="宋体" w:hAnsi="宋体" w:eastAsia="宋体"/>
      <w:color w:val="000000"/>
      <w:sz w:val="24"/>
      <w:szCs w:val="24"/>
    </w:rPr>
  </w:style>
  <w:style w:type="paragraph" w:customStyle="1" w:styleId="23">
    <w:name w:val="FootnoteText"/>
    <w:basedOn w:val="1"/>
    <w:qFormat/>
    <w:uiPriority w:val="0"/>
    <w:pPr>
      <w:snapToGrid w:val="0"/>
      <w:jc w:val="left"/>
      <w:textAlignment w:val="baseline"/>
    </w:pPr>
    <w:rPr>
      <w:kern w:val="2"/>
      <w:sz w:val="18"/>
      <w:szCs w:val="22"/>
      <w:lang w:val="en-US" w:eastAsia="zh-CN" w:bidi="ar-SA"/>
    </w:rPr>
  </w:style>
  <w:style w:type="paragraph" w:customStyle="1" w:styleId="24">
    <w:name w:val="UserStyle_8"/>
    <w:basedOn w:val="9"/>
    <w:qFormat/>
    <w:uiPriority w:val="0"/>
    <w:pPr>
      <w:keepNext/>
      <w:keepLines/>
      <w:spacing w:before="0" w:after="0" w:line="240" w:lineRule="auto"/>
      <w:jc w:val="center"/>
      <w:textAlignment w:val="baseline"/>
    </w:pPr>
    <w:rPr>
      <w:rFonts w:ascii="华文中宋" w:hAnsi="华文中宋" w:eastAsia="华文中宋" w:cs="Times New Roman"/>
      <w:kern w:val="44"/>
      <w:sz w:val="36"/>
      <w:szCs w:val="36"/>
      <w:lang w:val="en-US" w:eastAsia="zh-CN" w:bidi="ar-SA"/>
    </w:rPr>
  </w:style>
  <w:style w:type="paragraph" w:customStyle="1" w:styleId="25">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26">
    <w:name w:val="AnnotationText"/>
    <w:basedOn w:val="1"/>
    <w:qFormat/>
    <w:uiPriority w:val="0"/>
    <w:pPr>
      <w:jc w:val="left"/>
      <w:textAlignment w:val="baseline"/>
    </w:pPr>
  </w:style>
  <w:style w:type="table" w:customStyle="1" w:styleId="27">
    <w:name w:val="TableGrid"/>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2021-05-26T01:23:00Z</dcterms:created>
  <dc:creator>lenovo</dc:creator>
  <cp:lastModifiedBy>明焰</cp:lastModifiedBy>
  <dcterms:modified xsi:type="dcterms:W3CDTF">2021-06-10T04:00:07Z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8F33F8AD56F24564807B6843DABB8B10</vt:lpwstr>
  </property>
</Properties>
</file>