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罗山县生态环境局关于</w:t>
      </w:r>
      <w:r>
        <w:rPr>
          <w:rFonts w:hint="eastAsia" w:asciiTheme="minorEastAsia" w:hAnsiTheme="minorEastAsia" w:cstheme="minorEastAsia"/>
          <w:sz w:val="36"/>
          <w:szCs w:val="36"/>
          <w:lang w:val="zh-CN" w:eastAsia="zh-CN"/>
        </w:rPr>
        <w:t>罗山县人民医院传染病区综合楼建设项目</w:t>
      </w:r>
      <w:r>
        <w:rPr>
          <w:rFonts w:hint="eastAsia" w:asciiTheme="minorEastAsia" w:hAnsiTheme="minorEastAsia" w:eastAsiaTheme="minorEastAsia" w:cstheme="minorEastAsia"/>
          <w:sz w:val="36"/>
          <w:szCs w:val="36"/>
          <w:lang w:val="en-US" w:eastAsia="zh-CN"/>
        </w:rPr>
        <w:t>环境影响评价文件做出审批意见的公</w:t>
      </w:r>
      <w:r>
        <w:rPr>
          <w:rFonts w:hint="eastAsia" w:asciiTheme="minorEastAsia" w:hAnsiTheme="minorEastAsia" w:cstheme="minorEastAsia"/>
          <w:sz w:val="36"/>
          <w:szCs w:val="36"/>
          <w:lang w:val="en-US" w:eastAsia="zh-CN"/>
        </w:rPr>
        <w:t>示</w:t>
      </w:r>
    </w:p>
    <w:p>
      <w:pPr>
        <w:pStyle w:val="2"/>
        <w:rPr>
          <w:rFonts w:hint="eastAsia"/>
          <w:lang w:val="en-US" w:eastAsia="zh-CN"/>
        </w:rPr>
      </w:pPr>
    </w:p>
    <w:p>
      <w:pPr>
        <w:ind w:firstLine="420" w:firstLineChars="0"/>
        <w:jc w:val="both"/>
        <w:rPr>
          <w:rFonts w:hint="eastAsia" w:asciiTheme="minorEastAsia" w:hAnsiTheme="minorEastAsia" w:cstheme="minorEastAsia"/>
          <w:color w:val="000000" w:themeColor="text1"/>
          <w:sz w:val="30"/>
          <w:szCs w:val="30"/>
          <w:highlight w:val="none"/>
          <w:lang w:val="en-US" w:eastAsia="zh-CN"/>
          <w14:textFill>
            <w14:solidFill>
              <w14:schemeClr w14:val="tx1"/>
            </w14:solidFill>
          </w14:textFill>
        </w:rPr>
      </w:pPr>
      <w:r>
        <w:rPr>
          <w:rFonts w:hint="eastAsia" w:asciiTheme="minorEastAsia" w:hAnsiTheme="minorEastAsia" w:cstheme="minorEastAsia"/>
          <w:sz w:val="30"/>
          <w:szCs w:val="30"/>
          <w:lang w:val="en-US" w:eastAsia="zh-CN"/>
        </w:rPr>
        <w:t>根据建设项目环境影响评价审批程序的有关规定，我局拟对</w:t>
      </w:r>
      <w:r>
        <w:rPr>
          <w:rFonts w:hint="eastAsia" w:asciiTheme="minorEastAsia" w:hAnsiTheme="minorEastAsia" w:cstheme="minorEastAsia"/>
          <w:sz w:val="30"/>
          <w:szCs w:val="30"/>
          <w:lang w:val="zh-CN" w:eastAsia="zh-CN"/>
        </w:rPr>
        <w:t>罗山县人民医院传染病区综合楼建设项目</w:t>
      </w:r>
      <w:r>
        <w:rPr>
          <w:rFonts w:hint="eastAsia" w:asciiTheme="minorEastAsia" w:hAnsiTheme="minorEastAsia" w:cstheme="minorEastAsia"/>
          <w:sz w:val="30"/>
          <w:szCs w:val="30"/>
          <w:lang w:val="en-US" w:eastAsia="zh-CN"/>
        </w:rPr>
        <w:t>环境影响评价文件进行审查。现将拟审查的环境影响评</w:t>
      </w:r>
      <w:r>
        <w:rPr>
          <w:rFonts w:hint="eastAsia" w:asciiTheme="minorEastAsia" w:hAnsiTheme="minorEastAsia" w:cstheme="minorEastAsia"/>
          <w:sz w:val="30"/>
          <w:szCs w:val="30"/>
          <w:highlight w:val="none"/>
          <w:lang w:val="en-US" w:eastAsia="zh-CN"/>
        </w:rPr>
        <w:t>价文件基本情况予以公示，公示期为3个工作日，即公示期为</w:t>
      </w:r>
      <w:r>
        <w:rPr>
          <w:rFonts w:hint="eastAsia" w:asciiTheme="minorEastAsia" w:hAnsiTheme="minorEastAsia" w:cstheme="minorEastAsia"/>
          <w:color w:val="000000" w:themeColor="text1"/>
          <w:sz w:val="30"/>
          <w:szCs w:val="30"/>
          <w:highlight w:val="none"/>
          <w:lang w:val="en-US" w:eastAsia="zh-CN"/>
          <w14:textFill>
            <w14:solidFill>
              <w14:schemeClr w14:val="tx1"/>
            </w14:solidFill>
          </w14:textFill>
        </w:rPr>
        <w:t>2021年4月27日-2021年4月30日。</w:t>
      </w:r>
    </w:p>
    <w:p>
      <w:pPr>
        <w:ind w:firstLine="420" w:firstLineChars="0"/>
        <w:jc w:val="both"/>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听证权利告知：依据《中华人民共和国行政许可法》，自公示起五日内申请人、利害关系人可提出听证申请。</w:t>
      </w:r>
    </w:p>
    <w:p>
      <w:pPr>
        <w:ind w:firstLine="420" w:firstLineChars="0"/>
        <w:jc w:val="both"/>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联系方式：电话：18839070426；传真：/</w:t>
      </w:r>
    </w:p>
    <w:p>
      <w:pPr>
        <w:ind w:firstLine="420" w:firstLineChars="0"/>
        <w:jc w:val="center"/>
        <w:rPr>
          <w:rFonts w:hint="eastAsia" w:asciiTheme="minorEastAsia" w:hAnsiTheme="minorEastAsia" w:cstheme="minorEastAsia"/>
          <w:sz w:val="36"/>
          <w:szCs w:val="36"/>
          <w:shd w:val="clear" w:color="auto" w:fill="auto"/>
          <w:lang w:val="en-US" w:eastAsia="zh-CN"/>
        </w:rPr>
      </w:pPr>
      <w:r>
        <w:rPr>
          <w:rFonts w:hint="eastAsia" w:asciiTheme="minorEastAsia" w:hAnsiTheme="minorEastAsia" w:cstheme="minorEastAsia"/>
          <w:sz w:val="28"/>
          <w:szCs w:val="28"/>
          <w:highlight w:val="none"/>
          <w:lang w:val="en-US" w:eastAsia="zh-CN"/>
        </w:rPr>
        <w:t>通讯地址：河南省信阳市罗山县宝城西路、龙山大道北侧、九龙大道东侧，世序西路西罗山县人民医院</w:t>
      </w: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p>
    <w:p>
      <w:pPr>
        <w:ind w:firstLine="420" w:firstLineChars="0"/>
        <w:jc w:val="center"/>
        <w:rPr>
          <w:rFonts w:hint="eastAsia" w:asciiTheme="minorEastAsia" w:hAnsiTheme="minorEastAsia" w:cstheme="minorEastAsia"/>
          <w:sz w:val="36"/>
          <w:szCs w:val="36"/>
          <w:shd w:val="clear" w:color="auto" w:fill="auto"/>
          <w:lang w:val="en-US" w:eastAsia="zh-CN"/>
        </w:rPr>
      </w:pPr>
      <w:r>
        <w:rPr>
          <w:rFonts w:hint="eastAsia" w:asciiTheme="minorEastAsia" w:hAnsiTheme="minorEastAsia" w:cstheme="minorEastAsia"/>
          <w:sz w:val="36"/>
          <w:szCs w:val="36"/>
          <w:shd w:val="clear" w:color="auto" w:fill="auto"/>
          <w:lang w:val="en-US" w:eastAsia="zh-CN"/>
        </w:rPr>
        <w:t>拟审批的建设项目环境影响报告书（表）</w:t>
      </w:r>
    </w:p>
    <w:tbl>
      <w:tblPr>
        <w:tblStyle w:val="8"/>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68"/>
        <w:gridCol w:w="427"/>
        <w:gridCol w:w="481"/>
        <w:gridCol w:w="520"/>
        <w:gridCol w:w="2797"/>
        <w:gridCol w:w="436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92" w:type="dxa"/>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468" w:type="dxa"/>
            <w:vAlign w:val="center"/>
          </w:tcPr>
          <w:p>
            <w:pPr>
              <w:jc w:val="center"/>
              <w:rPr>
                <w:rFonts w:hint="eastAsia" w:eastAsiaTheme="minorEastAsia"/>
                <w:vertAlign w:val="baseline"/>
                <w:lang w:val="en-US" w:eastAsia="zh-CN"/>
              </w:rPr>
            </w:pPr>
            <w:r>
              <w:rPr>
                <w:rFonts w:hint="eastAsia"/>
                <w:vertAlign w:val="baseline"/>
                <w:lang w:val="en-US" w:eastAsia="zh-CN"/>
              </w:rPr>
              <w:t>项目名称</w:t>
            </w:r>
          </w:p>
        </w:tc>
        <w:tc>
          <w:tcPr>
            <w:tcW w:w="427" w:type="dxa"/>
            <w:vAlign w:val="center"/>
          </w:tcPr>
          <w:p>
            <w:pPr>
              <w:jc w:val="center"/>
              <w:rPr>
                <w:rFonts w:hint="eastAsia" w:eastAsiaTheme="minorEastAsia"/>
                <w:vertAlign w:val="baseline"/>
                <w:lang w:val="en-US" w:eastAsia="zh-CN"/>
              </w:rPr>
            </w:pPr>
            <w:r>
              <w:rPr>
                <w:rFonts w:hint="eastAsia"/>
                <w:vertAlign w:val="baseline"/>
                <w:lang w:val="en-US" w:eastAsia="zh-CN"/>
              </w:rPr>
              <w:t>建设地点</w:t>
            </w:r>
          </w:p>
        </w:tc>
        <w:tc>
          <w:tcPr>
            <w:tcW w:w="481" w:type="dxa"/>
            <w:vAlign w:val="center"/>
          </w:tcPr>
          <w:p>
            <w:pPr>
              <w:jc w:val="center"/>
              <w:rPr>
                <w:rFonts w:hint="eastAsia" w:eastAsiaTheme="minorEastAsia"/>
                <w:vertAlign w:val="baseline"/>
                <w:lang w:val="en-US" w:eastAsia="zh-CN"/>
              </w:rPr>
            </w:pPr>
            <w:r>
              <w:rPr>
                <w:rFonts w:hint="eastAsia"/>
                <w:vertAlign w:val="baseline"/>
                <w:lang w:val="en-US" w:eastAsia="zh-CN"/>
              </w:rPr>
              <w:t>建设单位</w:t>
            </w:r>
          </w:p>
        </w:tc>
        <w:tc>
          <w:tcPr>
            <w:tcW w:w="520" w:type="dxa"/>
            <w:vAlign w:val="center"/>
          </w:tcPr>
          <w:p>
            <w:pPr>
              <w:jc w:val="center"/>
              <w:rPr>
                <w:rFonts w:hint="eastAsia" w:eastAsiaTheme="minorEastAsia"/>
                <w:vertAlign w:val="baseline"/>
                <w:lang w:val="en-US" w:eastAsia="zh-CN"/>
              </w:rPr>
            </w:pPr>
            <w:r>
              <w:rPr>
                <w:rFonts w:hint="eastAsia"/>
                <w:vertAlign w:val="baseline"/>
                <w:lang w:val="en-US" w:eastAsia="zh-CN"/>
              </w:rPr>
              <w:t>环境影响评价机构</w:t>
            </w:r>
          </w:p>
        </w:tc>
        <w:tc>
          <w:tcPr>
            <w:tcW w:w="2797" w:type="dxa"/>
            <w:vAlign w:val="center"/>
          </w:tcPr>
          <w:p>
            <w:pPr>
              <w:jc w:val="center"/>
              <w:rPr>
                <w:rFonts w:hint="eastAsia" w:eastAsiaTheme="minorEastAsia"/>
                <w:vertAlign w:val="baseline"/>
                <w:lang w:val="en-US" w:eastAsia="zh-CN"/>
              </w:rPr>
            </w:pPr>
            <w:r>
              <w:rPr>
                <w:rFonts w:hint="eastAsia"/>
                <w:vertAlign w:val="baseline"/>
                <w:lang w:val="en-US" w:eastAsia="zh-CN"/>
              </w:rPr>
              <w:t>建设项目概况</w:t>
            </w:r>
          </w:p>
        </w:tc>
        <w:tc>
          <w:tcPr>
            <w:tcW w:w="4367" w:type="dxa"/>
            <w:vAlign w:val="center"/>
          </w:tcPr>
          <w:p>
            <w:pPr>
              <w:jc w:val="center"/>
              <w:rPr>
                <w:rFonts w:hint="eastAsia" w:eastAsiaTheme="minorEastAsia"/>
                <w:vertAlign w:val="baseline"/>
                <w:lang w:val="en-US" w:eastAsia="zh-CN"/>
              </w:rPr>
            </w:pPr>
            <w:r>
              <w:rPr>
                <w:rFonts w:hint="eastAsia"/>
                <w:vertAlign w:val="baseline"/>
                <w:lang w:val="en-US" w:eastAsia="zh-CN"/>
              </w:rPr>
              <w:t>主要环境影响及预防或减轻不良环境影响的对象和措施</w:t>
            </w:r>
          </w:p>
        </w:tc>
        <w:tc>
          <w:tcPr>
            <w:tcW w:w="936" w:type="dxa"/>
            <w:vAlign w:val="center"/>
          </w:tcPr>
          <w:p>
            <w:pPr>
              <w:jc w:val="center"/>
              <w:rPr>
                <w:rFonts w:hint="eastAsia" w:eastAsiaTheme="minorEastAsia"/>
                <w:vertAlign w:val="baseline"/>
                <w:lang w:val="en-US" w:eastAsia="zh-CN"/>
              </w:rPr>
            </w:pPr>
            <w:r>
              <w:rPr>
                <w:rFonts w:hint="eastAsia"/>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492"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468" w:type="dxa"/>
            <w:vAlign w:val="center"/>
          </w:tcPr>
          <w:p>
            <w:pPr>
              <w:jc w:val="center"/>
              <w:rPr>
                <w:rFonts w:hint="eastAsia"/>
                <w:vertAlign w:val="baseline"/>
                <w:lang w:val="en-US" w:eastAsia="zh-CN"/>
              </w:rPr>
            </w:pPr>
            <w:r>
              <w:rPr>
                <w:rFonts w:hint="eastAsia" w:ascii="Times New Roman" w:hAnsi="Times New Roman" w:cs="Times New Roman"/>
                <w:vertAlign w:val="baseline"/>
                <w:lang w:val="zh-CN" w:eastAsia="zh-CN"/>
              </w:rPr>
              <w:t>罗山县人民医院传染病区综合楼建设项目</w:t>
            </w:r>
          </w:p>
        </w:tc>
        <w:tc>
          <w:tcPr>
            <w:tcW w:w="427" w:type="dxa"/>
            <w:vAlign w:val="center"/>
          </w:tcPr>
          <w:p>
            <w:pPr>
              <w:jc w:val="center"/>
              <w:rPr>
                <w:rFonts w:hint="eastAsia"/>
                <w:vertAlign w:val="baseline"/>
                <w:lang w:val="en-US" w:eastAsia="zh-CN"/>
              </w:rPr>
            </w:pPr>
            <w:r>
              <w:rPr>
                <w:rFonts w:hint="eastAsia"/>
                <w:vertAlign w:val="baseline"/>
                <w:lang w:val="en-US" w:eastAsia="zh-CN"/>
              </w:rPr>
              <w:t>河南省信阳市罗山县宝城西路、龙山大道北侧、九龙大道东侧，世序西路西罗山人民医院内</w:t>
            </w:r>
          </w:p>
        </w:tc>
        <w:tc>
          <w:tcPr>
            <w:tcW w:w="481" w:type="dxa"/>
            <w:vAlign w:val="center"/>
          </w:tcPr>
          <w:p>
            <w:pPr>
              <w:jc w:val="center"/>
              <w:rPr>
                <w:vertAlign w:val="baseline"/>
              </w:rPr>
            </w:pPr>
            <w:r>
              <w:rPr>
                <w:rFonts w:hint="eastAsia" w:ascii="Times New Roman" w:hAnsi="Times New Roman" w:cs="Times New Roman"/>
                <w:vertAlign w:val="baseline"/>
                <w:lang w:val="zh-CN" w:eastAsia="zh-CN"/>
              </w:rPr>
              <w:t>罗山县人民医院</w:t>
            </w:r>
          </w:p>
        </w:tc>
        <w:tc>
          <w:tcPr>
            <w:tcW w:w="520" w:type="dxa"/>
            <w:vAlign w:val="center"/>
          </w:tcPr>
          <w:p>
            <w:pPr>
              <w:jc w:val="center"/>
              <w:rPr>
                <w:rFonts w:hint="default" w:eastAsiaTheme="minorEastAsia"/>
                <w:vertAlign w:val="baseline"/>
                <w:lang w:val="en-US" w:eastAsia="zh-CN"/>
              </w:rPr>
            </w:pPr>
            <w:r>
              <w:rPr>
                <w:rFonts w:hint="eastAsia" w:ascii="Times New Roman" w:hAnsi="Times New Roman" w:cs="Times New Roman"/>
                <w:vertAlign w:val="baseline"/>
                <w:lang w:val="zh-CN" w:eastAsia="zh-CN"/>
              </w:rPr>
              <w:t>河南佳昱环境科技有限公司</w:t>
            </w:r>
          </w:p>
        </w:tc>
        <w:tc>
          <w:tcPr>
            <w:tcW w:w="2797" w:type="dxa"/>
            <w:vAlign w:val="center"/>
          </w:tcPr>
          <w:p>
            <w:pPr>
              <w:pStyle w:val="6"/>
              <w:spacing w:after="0" w:line="520" w:lineRule="exact"/>
              <w:ind w:firstLine="420" w:firstLineChars="200"/>
              <w:rPr>
                <w:rFonts w:hint="default" w:ascii="Times New Roman" w:hAnsi="Times New Roman" w:eastAsia="宋体" w:cs="Times New Roman"/>
                <w:highlight w:val="none"/>
                <w:u w:val="none"/>
                <w:lang w:val="en-US" w:eastAsia="zh-CN"/>
              </w:rPr>
            </w:pPr>
            <w:r>
              <w:rPr>
                <w:rFonts w:hint="eastAsia" w:ascii="Times New Roman" w:hAnsi="Times New Roman" w:eastAsia="宋体" w:cs="Times New Roman"/>
                <w:highlight w:val="none"/>
                <w:u w:val="none"/>
                <w:lang w:val="en-US" w:eastAsia="zh-CN"/>
              </w:rPr>
              <w:t>项目为罗山县人民医院传染病区综合楼建设项目，占地981m</w:t>
            </w:r>
            <w:r>
              <w:rPr>
                <w:rFonts w:hint="eastAsia" w:ascii="Times New Roman" w:hAnsi="Times New Roman" w:eastAsia="宋体" w:cs="Times New Roman"/>
                <w:highlight w:val="none"/>
                <w:u w:val="none"/>
                <w:vertAlign w:val="superscript"/>
                <w:lang w:val="en-US" w:eastAsia="zh-CN"/>
              </w:rPr>
              <w:t>2</w:t>
            </w:r>
            <w:r>
              <w:rPr>
                <w:rFonts w:hint="eastAsia" w:ascii="Times New Roman" w:hAnsi="Times New Roman" w:eastAsia="宋体" w:cs="Times New Roman"/>
                <w:highlight w:val="none"/>
                <w:u w:val="none"/>
                <w:lang w:val="en-US" w:eastAsia="zh-CN"/>
              </w:rPr>
              <w:t>，长×宽为49m×20m，总建筑面积5100m</w:t>
            </w:r>
            <w:r>
              <w:rPr>
                <w:rFonts w:hint="eastAsia" w:ascii="Times New Roman" w:hAnsi="Times New Roman" w:eastAsia="宋体" w:cs="Times New Roman"/>
                <w:highlight w:val="none"/>
                <w:u w:val="none"/>
                <w:vertAlign w:val="superscript"/>
                <w:lang w:val="en-US" w:eastAsia="zh-CN"/>
              </w:rPr>
              <w:t>2</w:t>
            </w:r>
            <w:r>
              <w:rPr>
                <w:rFonts w:hint="eastAsia" w:ascii="Times New Roman" w:hAnsi="Times New Roman" w:eastAsia="宋体" w:cs="Times New Roman"/>
                <w:highlight w:val="none"/>
                <w:u w:val="none"/>
                <w:lang w:val="en-US" w:eastAsia="zh-CN"/>
              </w:rPr>
              <w:t>（1栋/五层），一层为发热门诊，含呼吸道门诊和消化道门诊；二层为留观病房，含9间病房和一间治疗室；三层和四层为负压病房，每层负压病房10间/床位20床；五层为负压隔离病房，每层负压病房10间/床位10床。</w:t>
            </w:r>
          </w:p>
          <w:p>
            <w:pPr>
              <w:pStyle w:val="6"/>
              <w:spacing w:after="0" w:line="520" w:lineRule="exact"/>
              <w:ind w:firstLine="420" w:firstLineChars="200"/>
              <w:rPr>
                <w:rFonts w:hint="eastAsia" w:ascii="Times New Roman" w:hAnsi="Times New Roman" w:eastAsia="宋体" w:cs="Times New Roman"/>
                <w:highlight w:val="none"/>
                <w:u w:val="none"/>
                <w:lang w:val="en-US" w:eastAsia="zh-CN"/>
              </w:rPr>
            </w:pPr>
            <w:r>
              <w:rPr>
                <w:rFonts w:hint="default" w:ascii="Times New Roman" w:hAnsi="Times New Roman" w:eastAsia="宋体" w:cs="Times New Roman"/>
                <w:highlight w:val="none"/>
                <w:u w:val="none"/>
                <w:lang w:val="en-US" w:eastAsia="zh-CN"/>
              </w:rPr>
              <w:t>根据《产业结构调整指导目录（2019年本）》，罗山县人民医院传染病区综合楼建设项目属于“第三十七类卫生健康中5、医疗卫生服务设施建设”，为鼓励类项目，项目建设符合当前国家产业政策</w:t>
            </w:r>
            <w:r>
              <w:rPr>
                <w:rFonts w:hint="eastAsia" w:ascii="Times New Roman" w:hAnsi="Times New Roman" w:eastAsia="宋体" w:cs="Times New Roman"/>
                <w:highlight w:val="none"/>
                <w:u w:val="none"/>
                <w:lang w:val="en-US" w:eastAsia="zh-CN"/>
              </w:rPr>
              <w:t>。</w:t>
            </w:r>
          </w:p>
          <w:p>
            <w:pPr>
              <w:pStyle w:val="6"/>
              <w:spacing w:after="0" w:line="520" w:lineRule="exact"/>
              <w:ind w:firstLine="420" w:firstLineChars="200"/>
              <w:rPr>
                <w:rFonts w:hint="eastAsia" w:ascii="Times New Roman" w:hAnsi="Times New Roman" w:eastAsia="宋体" w:cs="Times New Roman"/>
                <w:highlight w:val="none"/>
                <w:u w:val="none"/>
                <w:lang w:val="en-US" w:eastAsia="zh-CN"/>
              </w:rPr>
            </w:pPr>
            <w:r>
              <w:rPr>
                <w:rFonts w:hint="eastAsia" w:ascii="Times New Roman" w:hAnsi="Times New Roman" w:eastAsia="宋体" w:cs="Times New Roman"/>
                <w:highlight w:val="none"/>
                <w:u w:val="none"/>
                <w:lang w:val="en-US" w:eastAsia="zh-CN"/>
              </w:rPr>
              <w:t>根据《罗山县城乡总体规划（2013-2030年）》城乡用地规划可知项目建设用地符合罗山县城乡发展总体规划以及土地利用总体规划要求。</w:t>
            </w:r>
          </w:p>
          <w:p>
            <w:pPr>
              <w:pStyle w:val="6"/>
              <w:spacing w:after="0" w:line="520" w:lineRule="exact"/>
              <w:ind w:firstLine="420" w:firstLineChars="200"/>
              <w:rPr>
                <w:rFonts w:hint="eastAsia" w:ascii="Times New Roman" w:hAnsi="Times New Roman" w:eastAsia="宋体" w:cs="Times New Roman"/>
                <w:highlight w:val="none"/>
                <w:u w:val="none"/>
                <w:lang w:val="en-US" w:eastAsia="zh-CN"/>
              </w:rPr>
            </w:pPr>
          </w:p>
        </w:tc>
        <w:tc>
          <w:tcPr>
            <w:tcW w:w="4367" w:type="dxa"/>
            <w:vAlign w:val="top"/>
          </w:tcPr>
          <w:p>
            <w:pPr>
              <w:pStyle w:val="6"/>
              <w:spacing w:after="0" w:line="520" w:lineRule="exact"/>
              <w:ind w:firstLine="420" w:firstLineChars="200"/>
              <w:rPr>
                <w:rFonts w:hint="eastAsia" w:ascii="Times New Roman" w:hAnsi="Times New Roman" w:eastAsia="宋体" w:cs="Times New Roman"/>
                <w:highlight w:val="none"/>
                <w:u w:val="none"/>
                <w:lang w:val="en-US" w:eastAsia="zh-CN"/>
              </w:rPr>
            </w:pPr>
            <w:bookmarkStart w:id="0" w:name="_GoBack"/>
            <w:r>
              <w:rPr>
                <w:rFonts w:hint="eastAsia" w:ascii="Times New Roman" w:hAnsi="Times New Roman" w:eastAsia="宋体" w:cs="Times New Roman"/>
                <w:highlight w:val="none"/>
                <w:u w:val="none"/>
                <w:lang w:val="en-US" w:eastAsia="zh-CN"/>
              </w:rPr>
              <w:t>施工期：①粉尘：</w:t>
            </w:r>
            <w:r>
              <w:rPr>
                <w:rFonts w:hint="default" w:ascii="Times New Roman" w:hAnsi="Times New Roman" w:eastAsia="宋体" w:cs="Times New Roman"/>
                <w:highlight w:val="none"/>
                <w:u w:val="none"/>
                <w:lang w:val="en-US" w:eastAsia="zh-CN"/>
              </w:rPr>
              <w:t>建设单位应严格执行《河南省污染防治攻坚战三年行动计划（2018-2020年）》中的相关规定</w:t>
            </w:r>
            <w:r>
              <w:rPr>
                <w:rFonts w:hint="eastAsia" w:ascii="Times New Roman" w:hAnsi="Times New Roman" w:eastAsia="宋体" w:cs="Times New Roman"/>
                <w:highlight w:val="none"/>
                <w:u w:val="none"/>
                <w:lang w:val="en-US" w:eastAsia="zh-CN"/>
              </w:rPr>
              <w:t>。②</w:t>
            </w:r>
            <w:r>
              <w:rPr>
                <w:rFonts w:hint="default" w:ascii="Times New Roman" w:hAnsi="Times New Roman" w:eastAsia="宋体" w:cs="Times New Roman"/>
                <w:highlight w:val="none"/>
                <w:u w:val="none"/>
                <w:lang w:val="en-US" w:eastAsia="zh-CN"/>
              </w:rPr>
              <w:t>废水</w:t>
            </w:r>
            <w:r>
              <w:rPr>
                <w:rFonts w:hint="eastAsia" w:ascii="Times New Roman" w:hAnsi="Times New Roman" w:eastAsia="宋体" w:cs="Times New Roman"/>
                <w:highlight w:val="none"/>
                <w:u w:val="none"/>
                <w:lang w:val="en-US" w:eastAsia="zh-CN"/>
              </w:rPr>
              <w:t>：</w:t>
            </w:r>
            <w:r>
              <w:rPr>
                <w:rFonts w:hint="default" w:ascii="Times New Roman" w:hAnsi="Times New Roman" w:eastAsia="宋体" w:cs="Times New Roman"/>
                <w:highlight w:val="none"/>
                <w:u w:val="none"/>
                <w:lang w:val="en-US" w:eastAsia="zh-CN"/>
              </w:rPr>
              <w:t>施工废水经沉淀池沉淀后用于施工场地和道路喷洒抑尘</w:t>
            </w:r>
            <w:r>
              <w:rPr>
                <w:rFonts w:hint="eastAsia" w:ascii="Times New Roman" w:hAnsi="Times New Roman" w:eastAsia="宋体" w:cs="Times New Roman"/>
                <w:highlight w:val="none"/>
                <w:u w:val="none"/>
                <w:lang w:val="en-US" w:eastAsia="zh-CN"/>
              </w:rPr>
              <w:t>；</w:t>
            </w:r>
            <w:r>
              <w:rPr>
                <w:rFonts w:hint="default" w:ascii="Times New Roman" w:hAnsi="Times New Roman" w:eastAsia="宋体" w:cs="Times New Roman"/>
                <w:highlight w:val="none"/>
                <w:u w:val="none"/>
                <w:lang w:val="en-US" w:eastAsia="zh-CN"/>
              </w:rPr>
              <w:t>生活废水经院区内现有污水处理站处理后排入污水处理厂。同时应做好建筑材料和建筑废料的管理，避免地面水体二次污染；在施工工地周界应设置排水明沟。</w:t>
            </w:r>
            <w:r>
              <w:rPr>
                <w:rFonts w:hint="eastAsia" w:ascii="Times New Roman" w:hAnsi="Times New Roman" w:eastAsia="宋体" w:cs="Times New Roman"/>
                <w:highlight w:val="none"/>
                <w:u w:val="none"/>
                <w:lang w:val="en-US" w:eastAsia="zh-CN"/>
              </w:rPr>
              <w:t>③噪声：</w:t>
            </w:r>
            <w:r>
              <w:rPr>
                <w:rFonts w:hint="default" w:ascii="Times New Roman" w:hAnsi="Times New Roman" w:eastAsia="宋体" w:cs="Times New Roman"/>
                <w:highlight w:val="none"/>
                <w:u w:val="none"/>
                <w:lang w:val="en-US" w:eastAsia="zh-CN"/>
              </w:rPr>
              <w:t>主要分为机械噪声、施工作业噪声和施工车辆噪声。在施工过程中，严格执行《建筑施工场界环境噪声排放标准》（GB12523-2011）中的有关规定，避免施工扰民事件的发生；施工单位要合理安排施工作业时间，夜间（22:00～6:00），中午（12:00～13:00）禁止一切产噪设备施工；采取合理安排施工机械操作时间的方法加以缓解，并减少同时作业的高噪施工机械数量，尽可能减轻声源叠加影响。</w:t>
            </w:r>
            <w:r>
              <w:rPr>
                <w:rFonts w:hint="eastAsia" w:ascii="Times New Roman" w:hAnsi="Times New Roman" w:eastAsia="宋体" w:cs="Times New Roman"/>
                <w:highlight w:val="none"/>
                <w:u w:val="none"/>
                <w:lang w:val="en-US" w:eastAsia="zh-CN"/>
              </w:rPr>
              <w:t>④</w:t>
            </w:r>
            <w:r>
              <w:rPr>
                <w:rFonts w:hint="default" w:ascii="Times New Roman" w:hAnsi="Times New Roman" w:eastAsia="宋体" w:cs="Times New Roman"/>
                <w:highlight w:val="none"/>
                <w:u w:val="none"/>
                <w:lang w:val="en-US" w:eastAsia="zh-CN"/>
              </w:rPr>
              <w:t>固体废物：施工过程中产生的建筑垃圾主要来自于施工作业，由施工方及时收集清运</w:t>
            </w:r>
            <w:r>
              <w:rPr>
                <w:rFonts w:hint="eastAsia" w:ascii="Times New Roman" w:hAnsi="Times New Roman" w:eastAsia="宋体" w:cs="Times New Roman"/>
                <w:highlight w:val="none"/>
                <w:u w:val="none"/>
                <w:lang w:val="en-US" w:eastAsia="zh-CN"/>
              </w:rPr>
              <w:t>暂存</w:t>
            </w:r>
            <w:r>
              <w:rPr>
                <w:rFonts w:hint="default" w:ascii="Times New Roman" w:hAnsi="Times New Roman" w:eastAsia="宋体" w:cs="Times New Roman"/>
                <w:highlight w:val="none"/>
                <w:u w:val="none"/>
                <w:lang w:val="en-US" w:eastAsia="zh-CN"/>
              </w:rPr>
              <w:t>；施工人员生活垃圾在厂区内统一收集后，由当地环卫部门统一收集、处理</w:t>
            </w:r>
            <w:r>
              <w:rPr>
                <w:rFonts w:hint="eastAsia" w:ascii="Times New Roman" w:hAnsi="Times New Roman" w:eastAsia="宋体" w:cs="Times New Roman"/>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imes New Roman" w:hAnsi="Times New Roman" w:eastAsia="宋体" w:cs="Times New Roman"/>
                <w:kern w:val="2"/>
                <w:sz w:val="21"/>
                <w:szCs w:val="24"/>
                <w:highlight w:val="none"/>
                <w:u w:val="none"/>
                <w:lang w:val="en-US" w:eastAsia="zh-CN" w:bidi="ar-SA"/>
              </w:rPr>
            </w:pPr>
            <w:r>
              <w:rPr>
                <w:rFonts w:hint="eastAsia" w:ascii="Times New Roman" w:hAnsi="Times New Roman" w:eastAsia="宋体" w:cs="Times New Roman"/>
                <w:kern w:val="2"/>
                <w:sz w:val="21"/>
                <w:szCs w:val="24"/>
                <w:highlight w:val="none"/>
                <w:u w:val="none"/>
                <w:lang w:val="en-US" w:eastAsia="zh-CN" w:bidi="ar-SA"/>
              </w:rPr>
              <w:t>运营期：①废气：污水处理站恶臭处理时要求污水处理站全密闭，恶臭气体经集中收集后采用活性炭吸附处理装置进行处理，处理后废气经过15m高的排气筒P1排放；膳食楼产生的油烟安装油烟净化器设备处理；负压房废气经紫外线和通过过滤器处理后通过管道井出屋面排出；项目周围较为空旷，停车位汽车尾气大气扩散条件较好，不会对院区及周围环境产生大的影响。②废水：本项目传染病综合楼所产生的废水应设专用化粪池，采取相应的预处理措施后和生活污水排入医院处理系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宋体" w:cs="Times New Roman"/>
                <w:highlight w:val="none"/>
                <w:u w:val="none"/>
                <w:lang w:val="en-US" w:eastAsia="zh-CN"/>
              </w:rPr>
            </w:pPr>
            <w:r>
              <w:rPr>
                <w:rFonts w:hint="eastAsia" w:ascii="Times New Roman" w:hAnsi="Times New Roman" w:eastAsia="宋体" w:cs="Times New Roman"/>
                <w:kern w:val="2"/>
                <w:sz w:val="21"/>
                <w:szCs w:val="24"/>
                <w:highlight w:val="none"/>
                <w:u w:val="none"/>
                <w:lang w:val="en-US" w:eastAsia="zh-CN" w:bidi="ar-SA"/>
              </w:rPr>
              <w:t>③噪声：项目运营过程主要有以下两类噪声：</w:t>
            </w:r>
            <w:r>
              <w:rPr>
                <w:rFonts w:hint="default" w:ascii="Times New Roman" w:hAnsi="Times New Roman" w:eastAsia="宋体" w:cs="Times New Roman"/>
                <w:kern w:val="2"/>
                <w:sz w:val="21"/>
                <w:szCs w:val="24"/>
                <w:highlight w:val="none"/>
                <w:u w:val="none"/>
                <w:lang w:val="en-US" w:eastAsia="zh-CN" w:bidi="ar-SA"/>
              </w:rPr>
              <w:t>一是机动车及人员活动产生的生活噪声，二是设备噪声，包括空调机组和负压病房废气排放风机等设备</w:t>
            </w:r>
            <w:r>
              <w:rPr>
                <w:rFonts w:hint="eastAsia" w:ascii="Times New Roman" w:hAnsi="Times New Roman" w:eastAsia="宋体" w:cs="Times New Roman"/>
                <w:kern w:val="2"/>
                <w:sz w:val="21"/>
                <w:szCs w:val="24"/>
                <w:highlight w:val="none"/>
                <w:u w:val="none"/>
                <w:lang w:val="en-US" w:eastAsia="zh-CN" w:bidi="ar-SA"/>
              </w:rPr>
              <w:t>，</w:t>
            </w:r>
            <w:r>
              <w:rPr>
                <w:rFonts w:hint="default" w:ascii="Times New Roman" w:hAnsi="Times New Roman" w:eastAsia="宋体" w:cs="Times New Roman"/>
                <w:kern w:val="2"/>
                <w:sz w:val="21"/>
                <w:szCs w:val="24"/>
                <w:highlight w:val="none"/>
                <w:u w:val="none"/>
                <w:lang w:val="en-US" w:eastAsia="zh-CN" w:bidi="ar-SA"/>
              </w:rPr>
              <w:t>属低噪声源，通过加强管理，对外界影响较小</w:t>
            </w:r>
            <w:r>
              <w:rPr>
                <w:rFonts w:hint="eastAsia" w:ascii="Times New Roman" w:hAnsi="Times New Roman" w:eastAsia="宋体" w:cs="Times New Roman"/>
                <w:kern w:val="2"/>
                <w:sz w:val="21"/>
                <w:szCs w:val="24"/>
                <w:highlight w:val="none"/>
                <w:u w:val="none"/>
                <w:lang w:val="en-US" w:eastAsia="zh-CN" w:bidi="ar-SA"/>
              </w:rPr>
              <w:t>。④固废：职工生活垃圾集中收集后由环卫部门统一处理；医疗废物和污水处理厂产生的污泥交由有资质的单位处理。</w:t>
            </w:r>
            <w:bookmarkEnd w:id="0"/>
          </w:p>
        </w:tc>
        <w:tc>
          <w:tcPr>
            <w:tcW w:w="936" w:type="dxa"/>
            <w:vAlign w:val="center"/>
          </w:tcPr>
          <w:p>
            <w:pPr>
              <w:spacing w:line="360" w:lineRule="auto"/>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w:t>
            </w:r>
          </w:p>
          <w:p>
            <w:pPr>
              <w:jc w:val="center"/>
              <w:rPr>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27C1"/>
    <w:rsid w:val="043A27C1"/>
    <w:rsid w:val="2C044CD8"/>
    <w:rsid w:val="2C1C2C53"/>
    <w:rsid w:val="394E54AE"/>
    <w:rsid w:val="3DAF2C98"/>
    <w:rsid w:val="6736760F"/>
    <w:rsid w:val="69CE686D"/>
    <w:rsid w:val="6F4B376E"/>
    <w:rsid w:val="71C34E25"/>
    <w:rsid w:val="72456C6E"/>
    <w:rsid w:val="72601A52"/>
    <w:rsid w:val="73910243"/>
    <w:rsid w:val="7A3E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4"/>
    <w:qFormat/>
    <w:uiPriority w:val="0"/>
    <w:pPr>
      <w:spacing w:after="120"/>
    </w:pPr>
  </w:style>
  <w:style w:type="paragraph" w:customStyle="1" w:styleId="4">
    <w:name w:val="xl27"/>
    <w:basedOn w:val="1"/>
    <w:qFormat/>
    <w:uiPriority w:val="0"/>
    <w:pPr>
      <w:widowControl/>
      <w:pBdr>
        <w:bottom w:val="single" w:color="auto" w:sz="4" w:space="0"/>
        <w:right w:val="single" w:color="auto" w:sz="4" w:space="0"/>
      </w:pBdr>
      <w:spacing w:before="100" w:beforeLines="0" w:beforeAutospacing="1" w:after="100" w:afterAutospacing="1"/>
      <w:jc w:val="center"/>
    </w:pPr>
    <w:rPr>
      <w:kern w:val="0"/>
      <w:szCs w:val="21"/>
    </w:rPr>
  </w:style>
  <w:style w:type="paragraph" w:styleId="5">
    <w:name w:val="Body Text Indent"/>
    <w:basedOn w:val="1"/>
    <w:next w:val="3"/>
    <w:qFormat/>
    <w:uiPriority w:val="0"/>
    <w:pPr>
      <w:ind w:firstLine="480"/>
    </w:pPr>
    <w:rPr>
      <w:sz w:val="24"/>
      <w:szCs w:val="20"/>
    </w:rPr>
  </w:style>
  <w:style w:type="paragraph" w:styleId="6">
    <w:name w:val="Body Text First Indent"/>
    <w:basedOn w:val="3"/>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paragraph" w:customStyle="1" w:styleId="11">
    <w:name w:val="Table Paragraph"/>
    <w:basedOn w:val="1"/>
    <w:qFormat/>
    <w:uiPriority w:val="1"/>
  </w:style>
  <w:style w:type="paragraph" w:customStyle="1" w:styleId="12">
    <w:name w:val="0"/>
    <w:basedOn w:val="1"/>
    <w:qFormat/>
    <w:uiPriority w:val="0"/>
    <w:pPr>
      <w:spacing w:line="460" w:lineRule="exact"/>
      <w:ind w:firstLine="4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未定义</cp:lastModifiedBy>
  <dcterms:modified xsi:type="dcterms:W3CDTF">2021-04-25T02:29:32Z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3932A61C46A94803AACC73BAE276E5FA</vt:lpwstr>
  </property>
</Properties>
</file>