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eastAsia="zh-CN"/>
        </w:rPr>
        <w:t>丽水街道办事处</w:t>
      </w:r>
      <w:r>
        <w:rPr>
          <w:rFonts w:hint="eastAsia" w:ascii="宋体" w:hAnsi="宋体" w:eastAsia="宋体" w:cs="宋体"/>
          <w:sz w:val="44"/>
          <w:szCs w:val="44"/>
          <w:lang w:val="en-US" w:eastAsia="zh-CN"/>
        </w:rPr>
        <w:t>2019年政府信息公开年度</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报  告</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根据新修订的《中华人民共和国政府信息公开条例》</w:t>
      </w:r>
      <w:r>
        <w:rPr>
          <w:rFonts w:hint="eastAsia" w:ascii="仿宋" w:hAnsi="仿宋" w:eastAsia="仿宋" w:cs="仿宋"/>
          <w:sz w:val="32"/>
          <w:szCs w:val="32"/>
          <w:lang w:eastAsia="zh-CN"/>
        </w:rPr>
        <w:t>和</w:t>
      </w:r>
      <w:r>
        <w:rPr>
          <w:rFonts w:hint="eastAsia" w:ascii="仿宋" w:hAnsi="仿宋" w:eastAsia="仿宋" w:cs="仿宋"/>
          <w:sz w:val="32"/>
          <w:szCs w:val="32"/>
        </w:rPr>
        <w:t>《国务院办公厅政府信息与政务公开办公室关于政府信息公开工作年度报告有关事项的通知》文件要求，为切实做好政府信息公开工作，我</w:t>
      </w:r>
      <w:r>
        <w:rPr>
          <w:rFonts w:hint="eastAsia" w:ascii="仿宋" w:hAnsi="仿宋" w:eastAsia="仿宋" w:cs="仿宋"/>
          <w:sz w:val="32"/>
          <w:szCs w:val="32"/>
          <w:lang w:eastAsia="zh-CN"/>
        </w:rPr>
        <w:t>街道</w:t>
      </w:r>
      <w:r>
        <w:rPr>
          <w:rFonts w:hint="eastAsia" w:ascii="仿宋" w:hAnsi="仿宋" w:eastAsia="仿宋" w:cs="仿宋"/>
          <w:sz w:val="32"/>
          <w:szCs w:val="32"/>
        </w:rPr>
        <w:t>结合工作实际，切实贯彻落实</w:t>
      </w:r>
      <w:r>
        <w:rPr>
          <w:rFonts w:hint="eastAsia" w:ascii="仿宋" w:hAnsi="仿宋" w:eastAsia="仿宋" w:cs="仿宋"/>
          <w:sz w:val="32"/>
          <w:szCs w:val="32"/>
          <w:lang w:eastAsia="zh-CN"/>
        </w:rPr>
        <w:t>县政府的</w:t>
      </w:r>
      <w:r>
        <w:rPr>
          <w:rFonts w:hint="eastAsia" w:ascii="仿宋" w:hAnsi="仿宋" w:eastAsia="仿宋" w:cs="仿宋"/>
          <w:sz w:val="32"/>
          <w:szCs w:val="32"/>
        </w:rPr>
        <w:t>工作要求，并形成2019年度新圩镇政府信息公开年度报告。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建立工作机构，加强领导。</w:t>
      </w:r>
      <w:r>
        <w:rPr>
          <w:rFonts w:hint="eastAsia" w:ascii="仿宋" w:hAnsi="仿宋" w:eastAsia="仿宋" w:cs="仿宋"/>
          <w:sz w:val="32"/>
          <w:szCs w:val="32"/>
          <w:lang w:eastAsia="zh-CN"/>
        </w:rPr>
        <w:t>街道办事处</w:t>
      </w:r>
      <w:r>
        <w:rPr>
          <w:rFonts w:hint="eastAsia" w:ascii="仿宋" w:hAnsi="仿宋" w:eastAsia="仿宋" w:cs="仿宋"/>
          <w:sz w:val="32"/>
          <w:szCs w:val="32"/>
        </w:rPr>
        <w:t>高度重视政务公开工作，根据职责分工，围绕当前中心工作，狠抓落实。按照“主要领导亲自抓，分管领导具体抓，专门机构抓落实”的工作要求，明确了责任分工，根据人员变动和工作需要及时调整了政府信息公开工作领导小组成员</w:t>
      </w:r>
      <w:r>
        <w:rPr>
          <w:rFonts w:hint="eastAsia" w:ascii="仿宋" w:hAnsi="仿宋" w:eastAsia="仿宋" w:cs="仿宋"/>
          <w:sz w:val="32"/>
          <w:szCs w:val="32"/>
          <w:lang w:eastAsia="zh-CN"/>
        </w:rPr>
        <w:t>，</w:t>
      </w:r>
      <w:r>
        <w:rPr>
          <w:rFonts w:hint="eastAsia" w:ascii="仿宋" w:hAnsi="仿宋" w:eastAsia="仿宋" w:cs="仿宋"/>
          <w:sz w:val="32"/>
          <w:szCs w:val="32"/>
        </w:rPr>
        <w:t>领导小组组长</w:t>
      </w:r>
      <w:r>
        <w:rPr>
          <w:rFonts w:hint="eastAsia" w:ascii="仿宋" w:hAnsi="仿宋" w:eastAsia="仿宋" w:cs="仿宋"/>
          <w:sz w:val="32"/>
          <w:szCs w:val="32"/>
          <w:lang w:eastAsia="zh-CN"/>
        </w:rPr>
        <w:t>办事处主任</w:t>
      </w:r>
      <w:r>
        <w:rPr>
          <w:rFonts w:hint="eastAsia" w:ascii="仿宋" w:hAnsi="仿宋" w:eastAsia="仿宋" w:cs="仿宋"/>
          <w:sz w:val="32"/>
          <w:szCs w:val="32"/>
        </w:rPr>
        <w:t>担任，</w:t>
      </w:r>
      <w:r>
        <w:rPr>
          <w:rFonts w:hint="eastAsia" w:ascii="仿宋" w:hAnsi="仿宋" w:eastAsia="仿宋" w:cs="仿宋"/>
          <w:sz w:val="32"/>
          <w:szCs w:val="32"/>
          <w:lang w:eastAsia="zh-CN"/>
        </w:rPr>
        <w:t>各部门</w:t>
      </w:r>
      <w:r>
        <w:rPr>
          <w:rFonts w:hint="eastAsia" w:ascii="仿宋" w:hAnsi="仿宋" w:eastAsia="仿宋" w:cs="仿宋"/>
          <w:sz w:val="32"/>
          <w:szCs w:val="32"/>
        </w:rPr>
        <w:t>负责人为本部门信息公开第一责任人，从而形成了主要领导负总责、</w:t>
      </w:r>
      <w:r>
        <w:rPr>
          <w:rFonts w:hint="eastAsia" w:ascii="仿宋" w:hAnsi="仿宋" w:eastAsia="仿宋" w:cs="仿宋"/>
          <w:sz w:val="32"/>
          <w:szCs w:val="32"/>
          <w:lang w:eastAsia="zh-CN"/>
        </w:rPr>
        <w:t>各部门</w:t>
      </w:r>
      <w:r>
        <w:rPr>
          <w:rFonts w:hint="eastAsia" w:ascii="仿宋" w:hAnsi="仿宋" w:eastAsia="仿宋" w:cs="仿宋"/>
          <w:sz w:val="32"/>
          <w:szCs w:val="32"/>
        </w:rPr>
        <w:t>负责人抓落实的工作格局</w:t>
      </w:r>
      <w:r>
        <w:rPr>
          <w:rFonts w:hint="eastAsia" w:ascii="仿宋" w:hAnsi="仿宋" w:eastAsia="仿宋" w:cs="仿宋"/>
          <w:sz w:val="32"/>
          <w:szCs w:val="32"/>
          <w:lang w:eastAsia="zh-CN"/>
        </w:rPr>
        <w:t>，全面</w:t>
      </w:r>
      <w:r>
        <w:rPr>
          <w:rFonts w:hint="eastAsia" w:ascii="仿宋" w:hAnsi="仿宋" w:eastAsia="仿宋" w:cs="仿宋"/>
          <w:sz w:val="32"/>
          <w:szCs w:val="32"/>
        </w:rPr>
        <w:t>负责政府信息公开日常事务。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部署工作任务，促进落实。做好信息公开网站建设，落实</w:t>
      </w:r>
      <w:r>
        <w:rPr>
          <w:rFonts w:hint="eastAsia" w:ascii="仿宋" w:hAnsi="仿宋" w:eastAsia="仿宋" w:cs="仿宋"/>
          <w:sz w:val="32"/>
          <w:szCs w:val="32"/>
          <w:lang w:eastAsia="zh-CN"/>
        </w:rPr>
        <w:t>街道</w:t>
      </w:r>
      <w:r>
        <w:rPr>
          <w:rFonts w:hint="eastAsia" w:ascii="仿宋" w:hAnsi="仿宋" w:eastAsia="仿宋" w:cs="仿宋"/>
          <w:sz w:val="32"/>
          <w:szCs w:val="32"/>
        </w:rPr>
        <w:t>信息公开建设和内容保障工作，及时、准确地公开和维护机构职能类、政策、规范性文件类、规划计划类等栏目信息。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（三）建立工作制度，提升质量。在上级信息公开工作管理部门的业务指导下，结合本单位实际情况，一是及时健全</w:t>
      </w:r>
      <w:r>
        <w:rPr>
          <w:rFonts w:hint="eastAsia" w:ascii="仿宋" w:hAnsi="仿宋" w:eastAsia="仿宋" w:cs="仿宋"/>
          <w:sz w:val="32"/>
          <w:szCs w:val="32"/>
          <w:lang w:eastAsia="zh-CN"/>
        </w:rPr>
        <w:t>丽水街道办事处</w:t>
      </w:r>
      <w:r>
        <w:rPr>
          <w:rFonts w:hint="eastAsia" w:ascii="仿宋" w:hAnsi="仿宋" w:eastAsia="仿宋" w:cs="仿宋"/>
          <w:sz w:val="32"/>
          <w:szCs w:val="32"/>
        </w:rPr>
        <w:t>信息公开工作机制</w:t>
      </w:r>
      <w:r>
        <w:rPr>
          <w:rFonts w:hint="eastAsia" w:ascii="仿宋" w:hAnsi="仿宋" w:eastAsia="仿宋" w:cs="仿宋"/>
          <w:sz w:val="32"/>
          <w:szCs w:val="32"/>
          <w:lang w:eastAsia="zh-CN"/>
        </w:rPr>
        <w:t>。</w:t>
      </w:r>
      <w:r>
        <w:rPr>
          <w:rFonts w:hint="eastAsia" w:ascii="仿宋" w:hAnsi="仿宋" w:eastAsia="仿宋" w:cs="仿宋"/>
          <w:sz w:val="32"/>
          <w:szCs w:val="32"/>
        </w:rPr>
        <w:t>二是健全信息公开培训机制，加强政府信息公开工作人员的培训，增强信息公开人员的业务水平。重点认真抓好《政府信息公开条例》、相关的文件材料的学习，积极组织工作人员参加区政府组织的政府信息公开培训、做好保密审查教育等；三是遵循谁提供、谁审核、谁负责的原则，严格进行保密审查。在推进政府信息公开工作中，严格坚持政府信息公开保密工作程序，建立健全信息发布保密审查机制，由</w:t>
      </w:r>
      <w:r>
        <w:rPr>
          <w:rFonts w:hint="eastAsia" w:ascii="仿宋" w:hAnsi="仿宋" w:eastAsia="仿宋" w:cs="仿宋"/>
          <w:sz w:val="32"/>
          <w:szCs w:val="32"/>
          <w:lang w:eastAsia="zh-CN"/>
        </w:rPr>
        <w:t>办公室</w:t>
      </w:r>
      <w:r>
        <w:rPr>
          <w:rFonts w:hint="eastAsia" w:ascii="仿宋" w:hAnsi="仿宋" w:eastAsia="仿宋" w:cs="仿宋"/>
          <w:sz w:val="32"/>
          <w:szCs w:val="32"/>
        </w:rPr>
        <w:t>分管领导和主要领导审批。</w:t>
      </w:r>
    </w:p>
    <w:p>
      <w:pPr>
        <w:rPr>
          <w:rFonts w:hint="eastAsia" w:ascii="仿宋" w:hAnsi="仿宋" w:eastAsia="仿宋" w:cs="仿宋"/>
          <w:sz w:val="32"/>
          <w:szCs w:val="32"/>
        </w:rPr>
      </w:pPr>
      <w:r>
        <w:rPr>
          <w:rFonts w:hint="eastAsia" w:ascii="仿宋" w:hAnsi="仿宋" w:eastAsia="仿宋" w:cs="仿宋"/>
          <w:sz w:val="32"/>
          <w:szCs w:val="32"/>
        </w:rPr>
        <w:t>二、主动公开政府信息情况</w:t>
      </w:r>
    </w:p>
    <w:tbl>
      <w:tblPr>
        <w:tblStyle w:val="5"/>
        <w:tblW w:w="0" w:type="auto"/>
        <w:jc w:val="center"/>
        <w:tblLayout w:type="fixed"/>
        <w:tblCellMar>
          <w:top w:w="15" w:type="dxa"/>
          <w:left w:w="15" w:type="dxa"/>
          <w:bottom w:w="15" w:type="dxa"/>
          <w:right w:w="15" w:type="dxa"/>
        </w:tblCellMar>
      </w:tblPr>
      <w:tblGrid>
        <w:gridCol w:w="3113"/>
        <w:gridCol w:w="2295"/>
        <w:gridCol w:w="1265"/>
        <w:gridCol w:w="6"/>
        <w:gridCol w:w="1875"/>
        <w:gridCol w:w="6"/>
      </w:tblGrid>
      <w:tr>
        <w:tblPrEx>
          <w:tblCellMar>
            <w:top w:w="15" w:type="dxa"/>
            <w:left w:w="15" w:type="dxa"/>
            <w:bottom w:w="15" w:type="dxa"/>
            <w:right w:w="15" w:type="dxa"/>
          </w:tblCellMar>
        </w:tblPrEx>
        <w:trPr>
          <w:jc w:val="center"/>
        </w:trPr>
        <w:tc>
          <w:tcPr>
            <w:tcW w:w="856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第二十条第（一）项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本年新</w:t>
            </w:r>
            <w:r>
              <w:rPr>
                <w:rFonts w:hint="eastAsia"/>
                <w:sz w:val="28"/>
                <w:szCs w:val="28"/>
              </w:rPr>
              <w:br w:type="textWrapping"/>
            </w:r>
            <w:r>
              <w:rPr>
                <w:rFonts w:hint="eastAsia"/>
                <w:sz w:val="28"/>
                <w:szCs w:val="28"/>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本年新</w:t>
            </w:r>
            <w:r>
              <w:rPr>
                <w:rFonts w:hint="eastAsia"/>
                <w:sz w:val="28"/>
                <w:szCs w:val="28"/>
              </w:rPr>
              <w:br w:type="textWrapping"/>
            </w:r>
            <w:r>
              <w:rPr>
                <w:rFonts w:hint="eastAsia"/>
                <w:sz w:val="28"/>
                <w:szCs w:val="28"/>
              </w:rPr>
              <w:t>公开数量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对外公开总数量</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规章</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规范性文件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第二十条第（五）项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行政许可</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lang w:val="en-US" w:eastAsia="zh-CN"/>
              </w:rPr>
              <w:t>0</w:t>
            </w:r>
            <w:r>
              <w:rPr>
                <w:rFonts w:hint="eastAsia"/>
                <w:sz w:val="28"/>
                <w:szCs w:val="28"/>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lang w:val="en-US" w:eastAsia="zh-CN"/>
              </w:rPr>
              <w:t>0</w:t>
            </w:r>
            <w:r>
              <w:rPr>
                <w:rFonts w:hint="eastAsia"/>
                <w:sz w:val="28"/>
                <w:szCs w:val="28"/>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其他对外管理服务事项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lang w:val="en-US" w:eastAsia="zh-CN"/>
              </w:rPr>
              <w:t>0</w:t>
            </w:r>
            <w:r>
              <w:rPr>
                <w:rFonts w:hint="eastAsia"/>
                <w:sz w:val="28"/>
                <w:szCs w:val="28"/>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lang w:val="en-US" w:eastAsia="zh-CN"/>
              </w:rPr>
              <w:t>0</w:t>
            </w:r>
            <w:r>
              <w:rPr>
                <w:rFonts w:hint="eastAsia"/>
                <w:sz w:val="28"/>
                <w:szCs w:val="28"/>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第二十条第（六）项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行政处罚</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行政强制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r>
      <w:tr>
        <w:tblPrEx>
          <w:tblCellMar>
            <w:top w:w="15" w:type="dxa"/>
            <w:left w:w="15" w:type="dxa"/>
            <w:bottom w:w="15" w:type="dxa"/>
            <w:right w:w="15" w:type="dxa"/>
          </w:tblCellMar>
        </w:tblPrEx>
        <w:trPr>
          <w:trHeight w:val="90" w:hRule="atLeast"/>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第二十条第（八）项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上一年项目数量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本年增/减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行政事业性收费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rPr>
                <w:rFonts w:hint="eastAsia"/>
                <w:sz w:val="28"/>
                <w:szCs w:val="28"/>
                <w:lang w:eastAsia="zh-CN"/>
              </w:rPr>
            </w:pPr>
            <w:r>
              <w:rPr>
                <w:rFonts w:hint="eastAsia"/>
                <w:sz w:val="28"/>
                <w:szCs w:val="28"/>
                <w:lang w:val="en-US" w:eastAsia="zh-CN"/>
              </w:rPr>
              <w:t>0</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第二十条第（九）项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采购项目数量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采购总金额</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rPr>
            </w:pPr>
            <w:r>
              <w:rPr>
                <w:rFonts w:hint="eastAsia"/>
                <w:sz w:val="28"/>
                <w:szCs w:val="28"/>
              </w:rPr>
              <w:t>政府集中采购</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rPr>
              <w:t>　</w:t>
            </w:r>
            <w:r>
              <w:rPr>
                <w:rFonts w:hint="eastAsia"/>
                <w:sz w:val="28"/>
                <w:szCs w:val="28"/>
                <w:lang w:val="en-US" w:eastAsia="zh-CN"/>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rPr>
                <w:rFonts w:hint="eastAsia"/>
                <w:sz w:val="28"/>
                <w:szCs w:val="28"/>
                <w:lang w:val="en-US" w:eastAsia="zh-CN"/>
              </w:rPr>
            </w:pPr>
            <w:r>
              <w:rPr>
                <w:rFonts w:hint="eastAsia"/>
                <w:sz w:val="28"/>
                <w:szCs w:val="28"/>
                <w:lang w:val="en-US" w:eastAsia="zh-CN"/>
              </w:rPr>
              <w:t>0</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sz w:val="28"/>
          <w:szCs w:val="28"/>
        </w:rPr>
      </w:pPr>
      <w:r>
        <w:rPr>
          <w:rFonts w:hint="eastAsia" w:ascii="仿宋" w:hAnsi="仿宋" w:eastAsia="仿宋" w:cs="仿宋"/>
          <w:sz w:val="28"/>
          <w:szCs w:val="28"/>
        </w:rPr>
        <w:t>三、收到和处理政府信息公开申请情况</w:t>
      </w:r>
    </w:p>
    <w:tbl>
      <w:tblPr>
        <w:tblStyle w:val="5"/>
        <w:tblW w:w="100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（本列数据的勾稽关系为：第一项加第二项之和，等于第三项加第四项之和）</w:t>
            </w:r>
          </w:p>
        </w:tc>
        <w:tc>
          <w:tcPr>
            <w:tcW w:w="621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84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自然人</w:t>
            </w:r>
          </w:p>
        </w:tc>
        <w:tc>
          <w:tcPr>
            <w:tcW w:w="43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法人或其他组织</w:t>
            </w:r>
          </w:p>
        </w:tc>
        <w:tc>
          <w:tcPr>
            <w:tcW w:w="10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84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科研机构</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社会公益组织</w:t>
            </w:r>
          </w:p>
        </w:tc>
        <w:tc>
          <w:tcPr>
            <w:tcW w:w="88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法律服务机构</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其他</w:t>
            </w:r>
          </w:p>
        </w:tc>
        <w:tc>
          <w:tcPr>
            <w:tcW w:w="105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一、本年新收政府信息公开申请数量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rPr>
              <w:t> </w:t>
            </w:r>
            <w:r>
              <w:rPr>
                <w:rFonts w:hint="eastAsia"/>
                <w:lang w:val="en-US" w:eastAsia="zh-CN"/>
              </w:rPr>
              <w:t>2</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二、上年结转政府信息公开申请数量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lang w:val="en-US" w:eastAsia="zh-CN"/>
              </w:rPr>
              <w:t>0</w:t>
            </w:r>
            <w:r>
              <w:rPr>
                <w:rFonts w:hint="eastAsia"/>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三、本年度办理结果</w:t>
            </w: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（一）予以公开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rPr>
              <w:t> </w:t>
            </w: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（二）部分公开（区分处理的，只计这一情形，不计其他情形）</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（三）不予公开</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1.属于国家秘密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2.其他法律行政法规禁止公开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3.危及“三安全一稳定”</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4.保护第三方合法权益</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5.属于三类内部事务信息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6.属于四类过程性信息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7.属于行政执法案卷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8.属于行政查询事项</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（四）无法提供</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1.本机关不掌握相关政府信息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2.没有现成信息需要另行制作</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3.补正后申请内容仍不明确</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（五）不予处理</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1.信访举报投诉类申请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2.重复申请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3.要求提供公开出版物</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4.无正当理由大量反复申请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5.要求行政机关确认或重新出具已获取信息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（六）其他处理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（七）总计</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default"/>
                <w:lang w:val="en-US" w:eastAsia="zh-CN"/>
              </w:rPr>
            </w:pPr>
            <w:r>
              <w:rPr>
                <w:rFonts w:hint="eastAsia"/>
                <w:lang w:val="en-US" w:eastAsia="zh-CN"/>
              </w:rPr>
              <w:t>2</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default"/>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四、结转下年度继续办理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bl>
    <w:p>
      <w:pPr>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14" w:left="1531" w:header="851" w:footer="1247" w:gutter="0"/>
          <w:pgNumType w:fmt="decimal"/>
          <w:cols w:space="720" w:num="1"/>
          <w:docGrid w:linePitch="435" w:charSpace="0"/>
        </w:sectPr>
      </w:pPr>
    </w:p>
    <w:p>
      <w:pPr>
        <w:rPr>
          <w:rFonts w:hint="eastAsia" w:ascii="仿宋" w:hAnsi="仿宋" w:eastAsia="仿宋" w:cs="仿宋"/>
          <w:sz w:val="32"/>
          <w:szCs w:val="32"/>
        </w:rPr>
      </w:pPr>
      <w:r>
        <w:rPr>
          <w:rFonts w:hint="eastAsia" w:ascii="仿宋" w:hAnsi="仿宋" w:eastAsia="仿宋" w:cs="仿宋"/>
          <w:sz w:val="32"/>
          <w:szCs w:val="32"/>
        </w:rPr>
        <w:t>四、政府信息公开行政复议、行政诉讼情况</w:t>
      </w:r>
    </w:p>
    <w:tbl>
      <w:tblPr>
        <w:tblStyle w:val="5"/>
        <w:tblW w:w="10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8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行政复议</w:t>
            </w:r>
          </w:p>
        </w:tc>
        <w:tc>
          <w:tcPr>
            <w:tcW w:w="685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结果维持</w:t>
            </w:r>
          </w:p>
        </w:tc>
        <w:tc>
          <w:tcPr>
            <w:tcW w:w="69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结果纠正</w:t>
            </w:r>
          </w:p>
        </w:tc>
        <w:tc>
          <w:tcPr>
            <w:tcW w:w="75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其他结果</w:t>
            </w:r>
          </w:p>
        </w:tc>
        <w:tc>
          <w:tcPr>
            <w:tcW w:w="64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尚未审结</w:t>
            </w:r>
          </w:p>
        </w:tc>
        <w:tc>
          <w:tcPr>
            <w:tcW w:w="50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总计</w:t>
            </w:r>
          </w:p>
        </w:tc>
        <w:tc>
          <w:tcPr>
            <w:tcW w:w="344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未经复议直接起诉</w:t>
            </w:r>
          </w:p>
        </w:tc>
        <w:tc>
          <w:tcPr>
            <w:tcW w:w="34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0" w:type="auto"/>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结果维持</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结果纠正</w:t>
            </w:r>
          </w:p>
        </w:tc>
        <w:tc>
          <w:tcPr>
            <w:tcW w:w="6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其他结果</w:t>
            </w:r>
          </w:p>
        </w:tc>
        <w:tc>
          <w:tcPr>
            <w:tcW w:w="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尚未审结</w:t>
            </w:r>
          </w:p>
        </w:tc>
        <w:tc>
          <w:tcPr>
            <w:tcW w:w="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结果维持</w:t>
            </w:r>
          </w:p>
        </w:tc>
        <w:tc>
          <w:tcPr>
            <w:tcW w:w="7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结果纠正</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其他结果</w:t>
            </w:r>
          </w:p>
        </w:tc>
        <w:tc>
          <w:tcPr>
            <w:tcW w:w="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尚未审结</w:t>
            </w:r>
          </w:p>
        </w:tc>
        <w:tc>
          <w:tcPr>
            <w:tcW w:w="5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lang w:val="en-US" w:eastAsia="zh-CN"/>
              </w:rPr>
              <w:t>0</w:t>
            </w:r>
            <w:r>
              <w:rPr>
                <w:rFonts w:hint="eastAsia"/>
              </w:rPr>
              <w:t> </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6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5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eastAsiaTheme="minorEastAsia"/>
                <w:lang w:val="en-US" w:eastAsia="zh-CN"/>
              </w:rPr>
            </w:pPr>
            <w:r>
              <w:rPr>
                <w:rFonts w:hint="eastAsia"/>
              </w:rPr>
              <w:t> </w:t>
            </w:r>
            <w:r>
              <w:rPr>
                <w:rFonts w:hint="eastAsia"/>
                <w:lang w:val="en-US" w:eastAsia="zh-CN"/>
              </w:rPr>
              <w:t>0</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lang w:val="en-US" w:eastAsia="zh-CN"/>
              </w:rPr>
              <w:t>0</w:t>
            </w:r>
          </w:p>
        </w:tc>
        <w:tc>
          <w:tcPr>
            <w:tcW w:w="6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eastAsiaTheme="minorEastAsia"/>
                <w:lang w:val="en-US" w:eastAsia="zh-CN"/>
              </w:rPr>
            </w:pPr>
            <w:r>
              <w:rPr>
                <w:rFonts w:hint="eastAsia"/>
              </w:rPr>
              <w:t> </w:t>
            </w:r>
            <w:r>
              <w:rPr>
                <w:rFonts w:hint="eastAsia"/>
                <w:lang w:val="en-US" w:eastAsia="zh-CN"/>
              </w:rPr>
              <w:t>0</w:t>
            </w:r>
          </w:p>
        </w:tc>
        <w:tc>
          <w:tcPr>
            <w:tcW w:w="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rPr>
            </w:pPr>
            <w:r>
              <w:rPr>
                <w:rFonts w:hint="eastAsia"/>
                <w:lang w:val="en-US" w:eastAsia="zh-CN"/>
              </w:rPr>
              <w:t>0</w:t>
            </w:r>
          </w:p>
        </w:tc>
        <w:tc>
          <w:tcPr>
            <w:tcW w:w="5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eastAsiaTheme="minorEastAsia"/>
                <w:lang w:val="en-US" w:eastAsia="zh-CN"/>
              </w:rPr>
            </w:pPr>
            <w:r>
              <w:rPr>
                <w:rFonts w:hint="eastAsia"/>
              </w:rPr>
              <w:t> </w:t>
            </w:r>
            <w:r>
              <w:rPr>
                <w:rFonts w:hint="eastAsia"/>
                <w:lang w:val="en-US" w:eastAsia="zh-CN"/>
              </w:rPr>
              <w:t>0</w:t>
            </w:r>
            <w:bookmarkStart w:id="0" w:name="_GoBack"/>
            <w:bookmarkEnd w:id="0"/>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rPr>
              <w:t> </w:t>
            </w:r>
            <w:r>
              <w:rPr>
                <w:rFonts w:hint="eastAsia"/>
                <w:lang w:val="en-US" w:eastAsia="zh-CN"/>
              </w:rPr>
              <w:t>0</w:t>
            </w:r>
          </w:p>
        </w:tc>
        <w:tc>
          <w:tcPr>
            <w:tcW w:w="7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7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eastAsia="zh-CN"/>
              </w:rPr>
            </w:pPr>
            <w:r>
              <w:rPr>
                <w:rFonts w:hint="eastAsia"/>
                <w:lang w:val="en-US" w:eastAsia="zh-CN"/>
              </w:rPr>
              <w:t>0</w:t>
            </w:r>
          </w:p>
        </w:tc>
        <w:tc>
          <w:tcPr>
            <w:tcW w:w="5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lang w:val="en-US" w:eastAsia="zh-CN"/>
              </w:rPr>
            </w:pPr>
            <w:r>
              <w:rPr>
                <w:rFonts w:hint="eastAsia"/>
                <w:lang w:val="en-US" w:eastAsia="zh-CN"/>
              </w:rPr>
              <w:t>0</w:t>
            </w:r>
          </w:p>
        </w:tc>
      </w:tr>
    </w:tbl>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存在的主要问题及改进情况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我镇通过积极努力、认真细致、扎实负责的工作，政府信息公开工作有了新的进展。但也存在一些不足，一是信息公开制度有待进一步完善；二是主动公开信息内容有待进一步充实。在接下来的工作中，我们将进一步完善政府信息公开制度，加强对新修订《条例》内容的学习，进一步梳理街道信息公开内容，扩宽公开渠道，并加强受理和反馈的工作。</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丽水街道办事处</w:t>
      </w:r>
    </w:p>
    <w:p>
      <w:pPr>
        <w:numPr>
          <w:ilvl w:val="0"/>
          <w:numId w:val="0"/>
        </w:numPr>
        <w:ind w:firstLine="4480" w:firstLineChars="1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2019年12月30日</w:t>
      </w:r>
    </w:p>
    <w:p>
      <w:pPr>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0" w:firstLineChars="0"/>
                            <w:rPr>
                              <w:rStyle w:val="7"/>
                            </w:rPr>
                          </w:pPr>
                          <w:r>
                            <w:rPr>
                              <w:rStyle w:val="7"/>
                            </w:rPr>
                            <w:t xml:space="preserve">— </w:t>
                          </w:r>
                          <w:r>
                            <w:fldChar w:fldCharType="begin"/>
                          </w:r>
                          <w:r>
                            <w:rPr>
                              <w:rStyle w:val="7"/>
                            </w:rPr>
                            <w:instrText xml:space="preserve">PAGE  </w:instrText>
                          </w:r>
                          <w:r>
                            <w:fldChar w:fldCharType="separate"/>
                          </w:r>
                          <w:r>
                            <w:rPr>
                              <w:rStyle w:val="7"/>
                            </w:rPr>
                            <w:t>15</w:t>
                          </w:r>
                          <w:r>
                            <w:fldChar w:fldCharType="end"/>
                          </w:r>
                          <w:r>
                            <w:rPr>
                              <w:rStyle w:val="7"/>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ind w:firstLine="0" w:firstLineChars="0"/>
                      <w:rPr>
                        <w:rStyle w:val="7"/>
                      </w:rPr>
                    </w:pPr>
                    <w:r>
                      <w:rPr>
                        <w:rStyle w:val="7"/>
                      </w:rPr>
                      <w:t xml:space="preserve">— </w:t>
                    </w:r>
                    <w:r>
                      <w:fldChar w:fldCharType="begin"/>
                    </w:r>
                    <w:r>
                      <w:rPr>
                        <w:rStyle w:val="7"/>
                      </w:rPr>
                      <w:instrText xml:space="preserve">PAGE  </w:instrText>
                    </w:r>
                    <w:r>
                      <w:fldChar w:fldCharType="separate"/>
                    </w:r>
                    <w:r>
                      <w:rPr>
                        <w:rStyle w:val="7"/>
                      </w:rPr>
                      <w:t>15</w:t>
                    </w:r>
                    <w: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84BA3"/>
    <w:multiLevelType w:val="singleLevel"/>
    <w:tmpl w:val="74084BA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775FC"/>
    <w:rsid w:val="07F60081"/>
    <w:rsid w:val="0F580315"/>
    <w:rsid w:val="127034BF"/>
    <w:rsid w:val="150A476B"/>
    <w:rsid w:val="15963C50"/>
    <w:rsid w:val="1AD75A7A"/>
    <w:rsid w:val="25731EEE"/>
    <w:rsid w:val="25F65257"/>
    <w:rsid w:val="29F8798C"/>
    <w:rsid w:val="2F9F5459"/>
    <w:rsid w:val="33707521"/>
    <w:rsid w:val="42E907CD"/>
    <w:rsid w:val="4B442AB7"/>
    <w:rsid w:val="4B815AF3"/>
    <w:rsid w:val="4C142517"/>
    <w:rsid w:val="55D05536"/>
    <w:rsid w:val="58D30914"/>
    <w:rsid w:val="5FCC4DAF"/>
    <w:rsid w:val="682F37AA"/>
    <w:rsid w:val="6D7F7A95"/>
    <w:rsid w:val="709D3821"/>
    <w:rsid w:val="72356A16"/>
    <w:rsid w:val="783D248E"/>
    <w:rsid w:val="7AF6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rPr>
      <w:rFonts w:ascii="Times New Roman" w:hAnsi="Times New Roman"/>
      <w:sz w:val="24"/>
    </w:rPr>
  </w:style>
  <w:style w:type="character" w:styleId="8">
    <w:name w:val="FollowedHyperlink"/>
    <w:basedOn w:val="6"/>
    <w:qFormat/>
    <w:uiPriority w:val="0"/>
    <w:rPr>
      <w:color w:val="555555"/>
      <w:u w:val="none"/>
    </w:rPr>
  </w:style>
  <w:style w:type="character" w:styleId="9">
    <w:name w:val="Hyperlink"/>
    <w:basedOn w:val="6"/>
    <w:qFormat/>
    <w:uiPriority w:val="0"/>
    <w:rPr>
      <w:color w:val="555555"/>
      <w:u w:val="none"/>
    </w:rPr>
  </w:style>
  <w:style w:type="character" w:customStyle="1" w:styleId="10">
    <w:name w:val="current"/>
    <w:basedOn w:val="6"/>
    <w:qFormat/>
    <w:uiPriority w:val="0"/>
    <w:rPr>
      <w:color w:val="FFFFFF"/>
      <w:u w:val="none"/>
      <w:bdr w:val="single" w:color="FB6E52" w:sz="6" w:space="0"/>
      <w:shd w:val="clear" w:fill="FB6E52"/>
    </w:rPr>
  </w:style>
  <w:style w:type="character" w:customStyle="1" w:styleId="11">
    <w:name w:val="current1"/>
    <w:basedOn w:val="6"/>
    <w:qFormat/>
    <w:uiPriority w:val="0"/>
    <w:rPr>
      <w:b/>
      <w:color w:val="FFFFFF"/>
      <w:bdr w:val="single" w:color="D80D00" w:sz="6" w:space="0"/>
      <w:shd w:val="clear" w:fill="D80D00"/>
    </w:rPr>
  </w:style>
  <w:style w:type="character" w:customStyle="1" w:styleId="12">
    <w:name w:val="disabled"/>
    <w:basedOn w:val="6"/>
    <w:qFormat/>
    <w:uiPriority w:val="0"/>
    <w:rPr>
      <w:color w:val="CCCCCC"/>
      <w:bdr w:val="single" w:color="F3F3F3" w:sz="6" w:space="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2020-01-19T03:02:00Z</dcterms:created>
  <dc:creator>Administrator</dc:creator>
  <cp:lastModifiedBy>忆往&amp;昔今</cp:lastModifiedBy>
  <cp:lastPrinted>2020-01-21T00:40:00Z</cp:lastPrinted>
  <dcterms:modified xsi:type="dcterms:W3CDTF">2020-01-21T02:27:27Z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