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zh-CN" w:eastAsia="zh-CN" w:bidi="ar-SA"/>
        </w:rPr>
        <w:t>罗山县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en-US" w:eastAsia="zh-CN" w:bidi="ar-SA"/>
        </w:rPr>
        <w:t>2019年度易地扶贫搬迁融资资金利息项目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singl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en-US" w:eastAsia="zh-CN" w:bidi="ar-SA"/>
        </w:rPr>
        <w:t>资金完成情况公告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现将罗山县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易地扶贫搬迁办2019年统筹整合财政涉农资金易地扶贫搬迁融资资金利息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项目完成情况进行公告。如有异议，请向以下部门提出意见。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投诉监督单位名称和地址：罗山县易地扶贫搬迁工作指挥部办公室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 xml:space="preserve">   县脱贫攻坚指挥部610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联系电话及电子邮箱：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0376-2177903  lsfpbq@163.com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全国扶贫监督举报电话：12317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附件：罗山县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易地扶贫搬迁办2018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年统筹整合财政涉农资金项目完成情况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 xml:space="preserve">罗山县易地扶贫搬迁工作指挥部办公室    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2019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年3月5日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罗山县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易地扶贫搬迁办2019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年统筹整合财政涉农资金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融资资金利息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项目完成情况</w:t>
      </w:r>
    </w:p>
    <w:tbl>
      <w:tblPr>
        <w:tblStyle w:val="3"/>
        <w:tblW w:w="15874" w:type="dxa"/>
        <w:tblInd w:w="-8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992"/>
        <w:gridCol w:w="2032"/>
        <w:gridCol w:w="1640"/>
        <w:gridCol w:w="1872"/>
        <w:gridCol w:w="1420"/>
        <w:gridCol w:w="1742"/>
        <w:gridCol w:w="1543"/>
        <w:gridCol w:w="1093"/>
        <w:gridCol w:w="874"/>
        <w:gridCol w:w="879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惠及建档立卡贫困人口数量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建设任务完成情况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实现情况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报账资金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年度易地扶贫搬迁融资资金利息项目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支付省扶贫公司融资贷款利息,保障罗山县易地扶贫搬迁项目顺利实施。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朱堂乡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、周党镇集镇、子路镇庙湾村丰店村、青山镇青山村孙岗村、高店乡集镇、中心村、湖南村、高道村、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尤店乡兴和社区、李湾村、李店村、田堂村、东铺北马店村、楠杆镇东湖社区、邵湾村、郑堂村、铁铺镇铁铺村、潘新镇肖庄村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48.52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罗山县易地扶贫搬迁工作指挥部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保障罗山县易地扶贫搬迁项目顺利实施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，保障3049名搬迁群众住房安全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48.52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0B45"/>
    <w:rsid w:val="339C6B96"/>
    <w:rsid w:val="50C634EF"/>
    <w:rsid w:val="63E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Body text|21"/>
    <w:basedOn w:val="1"/>
    <w:qFormat/>
    <w:uiPriority w:val="0"/>
    <w:pPr>
      <w:widowControl w:val="0"/>
      <w:shd w:val="clear" w:color="auto" w:fill="FFFFFF"/>
      <w:spacing w:before="220" w:after="1220" w:line="300" w:lineRule="exact"/>
      <w:ind w:hanging="660"/>
      <w:jc w:val="center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8">
    <w:name w:val="lanmu-span-l"/>
    <w:basedOn w:val="4"/>
    <w:qFormat/>
    <w:uiPriority w:val="0"/>
    <w:rPr>
      <w:color w:val="1F91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2019-11-25T07:17:00Z</dcterms:created>
  <dc:creator>Administrator</dc:creator>
  <cp:lastModifiedBy>Administrator</cp:lastModifiedBy>
  <cp:lastPrinted>2019-11-26T00:53:45Z</cp:lastPrinted>
  <dcterms:modified xsi:type="dcterms:W3CDTF">2019-11-26T00:53:53Z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