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C72242" w:rsidRPr="002A667B" w:rsidRDefault="003871BA" w:rsidP="00C8716E">
      <w:pPr>
        <w:widowControl/>
        <w:ind w:firstLineChars="300" w:firstLine="904"/>
        <w:rPr>
          <w:rFonts w:ascii="仿宋" w:eastAsia="仿宋" w:hAnsi="仿宋" w:cs="Times New Roman"/>
          <w:b/>
          <w:bCs/>
          <w:kern w:val="0"/>
          <w:sz w:val="30"/>
          <w:szCs w:val="30"/>
        </w:rPr>
      </w:pPr>
      <w:r w:rsidRPr="002A667B">
        <w:rPr>
          <w:rFonts w:ascii="仿宋" w:eastAsia="仿宋" w:hAnsi="仿宋" w:cs="Times New Roman"/>
          <w:b/>
          <w:bCs/>
          <w:kern w:val="0"/>
          <w:sz w:val="30"/>
          <w:szCs w:val="30"/>
        </w:rPr>
        <w:t>河南省委省政府环境保护督察组交办涉及</w:t>
      </w:r>
      <w:r w:rsidRPr="002A667B">
        <w:rPr>
          <w:rFonts w:ascii="仿宋" w:eastAsia="仿宋" w:hAnsi="仿宋" w:cs="Times New Roman" w:hint="eastAsia"/>
          <w:b/>
          <w:bCs/>
          <w:kern w:val="0"/>
          <w:sz w:val="30"/>
          <w:szCs w:val="30"/>
        </w:rPr>
        <w:t>信阳</w:t>
      </w:r>
      <w:r w:rsidRPr="002A667B">
        <w:rPr>
          <w:rFonts w:ascii="仿宋" w:eastAsia="仿宋" w:hAnsi="仿宋" w:cs="Times New Roman"/>
          <w:b/>
          <w:bCs/>
          <w:kern w:val="0"/>
          <w:sz w:val="30"/>
          <w:szCs w:val="30"/>
        </w:rPr>
        <w:t>市环境信访件交办问题办理结果通报如下：</w:t>
      </w:r>
    </w:p>
    <w:p w:rsidR="00D06206" w:rsidRPr="00D6619A" w:rsidRDefault="0082722D" w:rsidP="00A0163D">
      <w:pPr>
        <w:widowControl/>
        <w:jc w:val="center"/>
        <w:rPr>
          <w:rFonts w:ascii="仿宋" w:eastAsia="仿宋" w:hAnsi="仿宋" w:cs="Times New Roman"/>
          <w:b/>
          <w:bCs/>
          <w:kern w:val="0"/>
          <w:sz w:val="28"/>
          <w:szCs w:val="28"/>
        </w:rPr>
      </w:pPr>
      <w:r w:rsidRPr="00D6619A">
        <w:rPr>
          <w:rFonts w:ascii="文星标宋" w:eastAsia="文星标宋" w:hAnsi="文星标宋" w:cs="文星标宋" w:hint="eastAsia"/>
          <w:b/>
          <w:sz w:val="28"/>
          <w:szCs w:val="28"/>
        </w:rPr>
        <w:t>第</w:t>
      </w:r>
      <w:r w:rsidR="00C8716E" w:rsidRPr="00C8716E">
        <w:rPr>
          <w:rFonts w:ascii="文星标宋" w:eastAsia="文星标宋" w:hAnsi="文星标宋" w:cs="文星标宋" w:hint="eastAsia"/>
          <w:b/>
          <w:sz w:val="28"/>
          <w:szCs w:val="28"/>
        </w:rPr>
        <w:t>七批X20181030009</w:t>
      </w:r>
      <w:r w:rsidRPr="00D6619A">
        <w:rPr>
          <w:rFonts w:ascii="文星标宋" w:eastAsia="文星标宋" w:hAnsi="文星标宋" w:cs="文星标宋" w:hint="eastAsia"/>
          <w:b/>
          <w:sz w:val="28"/>
          <w:szCs w:val="28"/>
        </w:rPr>
        <w:t>号</w:t>
      </w:r>
    </w:p>
    <w:tbl>
      <w:tblPr>
        <w:tblW w:w="13608" w:type="dxa"/>
        <w:jc w:val="center"/>
        <w:tblLayout w:type="fixed"/>
        <w:tblLook w:val="04A0"/>
      </w:tblPr>
      <w:tblGrid>
        <w:gridCol w:w="534"/>
        <w:gridCol w:w="2693"/>
        <w:gridCol w:w="1701"/>
        <w:gridCol w:w="4536"/>
        <w:gridCol w:w="993"/>
        <w:gridCol w:w="2446"/>
        <w:gridCol w:w="705"/>
      </w:tblGrid>
      <w:tr w:rsidR="00C72242" w:rsidRPr="00D06206" w:rsidTr="00ED1C0E">
        <w:trPr>
          <w:trHeight w:val="1150"/>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序号</w:t>
            </w:r>
          </w:p>
        </w:tc>
        <w:tc>
          <w:tcPr>
            <w:tcW w:w="26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交办问题基本情况</w:t>
            </w:r>
          </w:p>
        </w:tc>
        <w:tc>
          <w:tcPr>
            <w:tcW w:w="1701"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涉及区县及部门</w:t>
            </w:r>
          </w:p>
        </w:tc>
        <w:tc>
          <w:tcPr>
            <w:tcW w:w="453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调查核实情况</w:t>
            </w:r>
          </w:p>
        </w:tc>
        <w:tc>
          <w:tcPr>
            <w:tcW w:w="9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是否属实</w:t>
            </w:r>
          </w:p>
        </w:tc>
        <w:tc>
          <w:tcPr>
            <w:tcW w:w="244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处理处罚和问责情况</w:t>
            </w:r>
          </w:p>
        </w:tc>
        <w:tc>
          <w:tcPr>
            <w:tcW w:w="705" w:type="dxa"/>
            <w:tcBorders>
              <w:top w:val="single" w:sz="8" w:space="0" w:color="auto"/>
              <w:left w:val="nil"/>
              <w:bottom w:val="single" w:sz="4" w:space="0" w:color="auto"/>
              <w:right w:val="single" w:sz="8"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备注</w:t>
            </w:r>
          </w:p>
        </w:tc>
      </w:tr>
      <w:tr w:rsidR="00C72242" w:rsidRPr="00ED1C0E" w:rsidTr="0085059F">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ED1C0E" w:rsidRDefault="003871BA" w:rsidP="008F08A9">
            <w:pPr>
              <w:widowControl/>
              <w:jc w:val="center"/>
              <w:rPr>
                <w:rFonts w:ascii="仿宋" w:eastAsia="仿宋" w:hAnsi="仿宋" w:cs="Times New Roman"/>
                <w:b/>
                <w:bCs/>
                <w:kern w:val="0"/>
                <w:sz w:val="28"/>
                <w:szCs w:val="28"/>
              </w:rPr>
            </w:pPr>
            <w:r w:rsidRPr="00ED1C0E">
              <w:rPr>
                <w:rFonts w:ascii="仿宋" w:eastAsia="仿宋" w:hAnsi="仿宋" w:cs="Times New Roman"/>
                <w:b/>
                <w:bCs/>
                <w:kern w:val="0"/>
                <w:sz w:val="28"/>
                <w:szCs w:val="28"/>
              </w:rPr>
              <w:t>1</w:t>
            </w:r>
          </w:p>
        </w:tc>
        <w:tc>
          <w:tcPr>
            <w:tcW w:w="2693" w:type="dxa"/>
            <w:tcBorders>
              <w:top w:val="single" w:sz="4" w:space="0" w:color="auto"/>
              <w:left w:val="nil"/>
              <w:bottom w:val="single" w:sz="4" w:space="0" w:color="auto"/>
              <w:right w:val="single" w:sz="4" w:space="0" w:color="auto"/>
            </w:tcBorders>
            <w:vAlign w:val="center"/>
          </w:tcPr>
          <w:p w:rsidR="00D06206" w:rsidRPr="00ED1C0E" w:rsidRDefault="003871BA" w:rsidP="008F08A9">
            <w:pPr>
              <w:widowControl/>
              <w:jc w:val="center"/>
              <w:rPr>
                <w:rFonts w:ascii="仿宋" w:eastAsia="仿宋" w:hAnsi="仿宋" w:cs="Times New Roman"/>
                <w:b/>
                <w:bCs/>
                <w:kern w:val="0"/>
                <w:sz w:val="24"/>
                <w:szCs w:val="24"/>
              </w:rPr>
            </w:pPr>
            <w:r w:rsidRPr="00ED1C0E">
              <w:rPr>
                <w:rFonts w:ascii="仿宋" w:eastAsia="仿宋" w:hAnsi="仿宋" w:cs="Times New Roman"/>
                <w:b/>
                <w:bCs/>
                <w:kern w:val="0"/>
                <w:sz w:val="24"/>
                <w:szCs w:val="24"/>
              </w:rPr>
              <w:t>受理编号</w:t>
            </w:r>
            <w:r w:rsidR="00406021" w:rsidRPr="00ED1C0E">
              <w:rPr>
                <w:rFonts w:ascii="仿宋" w:eastAsia="仿宋" w:hAnsi="仿宋" w:cs="Times New Roman" w:hint="eastAsia"/>
                <w:b/>
                <w:bCs/>
                <w:kern w:val="0"/>
                <w:sz w:val="24"/>
                <w:szCs w:val="24"/>
              </w:rPr>
              <w:t>：信阳</w:t>
            </w:r>
            <w:r w:rsidR="00C8716E" w:rsidRPr="00C8716E">
              <w:rPr>
                <w:rFonts w:ascii="仿宋" w:eastAsia="仿宋" w:hAnsi="仿宋" w:cs="Times New Roman" w:hint="eastAsia"/>
                <w:b/>
                <w:bCs/>
                <w:kern w:val="0"/>
                <w:sz w:val="24"/>
                <w:szCs w:val="24"/>
              </w:rPr>
              <w:t>X20181030009</w:t>
            </w:r>
            <w:r w:rsidR="00ED1C0E" w:rsidRPr="00ED1C0E">
              <w:rPr>
                <w:rFonts w:ascii="仿宋" w:eastAsia="仿宋" w:hAnsi="仿宋" w:cs="Times New Roman" w:hint="eastAsia"/>
                <w:b/>
                <w:bCs/>
                <w:kern w:val="0"/>
                <w:sz w:val="24"/>
                <w:szCs w:val="24"/>
              </w:rPr>
              <w:t>号</w:t>
            </w:r>
          </w:p>
          <w:p w:rsidR="001A3C2B" w:rsidRPr="00ED1C0E" w:rsidRDefault="001A3C2B" w:rsidP="008F08A9">
            <w:pPr>
              <w:widowControl/>
              <w:jc w:val="center"/>
              <w:rPr>
                <w:rFonts w:ascii="仿宋" w:eastAsia="仿宋" w:hAnsi="仿宋" w:cs="Times New Roman"/>
                <w:b/>
                <w:bCs/>
                <w:kern w:val="0"/>
                <w:sz w:val="24"/>
                <w:szCs w:val="24"/>
              </w:rPr>
            </w:pPr>
          </w:p>
          <w:p w:rsidR="00C8716E" w:rsidRPr="00C8716E" w:rsidRDefault="003871BA" w:rsidP="00C8716E">
            <w:pPr>
              <w:ind w:firstLineChars="200" w:firstLine="482"/>
              <w:rPr>
                <w:rFonts w:ascii="仿宋" w:eastAsia="仿宋" w:hAnsi="仿宋" w:cs="Times New Roman" w:hint="eastAsia"/>
                <w:bCs/>
                <w:kern w:val="0"/>
                <w:szCs w:val="21"/>
              </w:rPr>
            </w:pPr>
            <w:r w:rsidRPr="00ED1C0E">
              <w:rPr>
                <w:rFonts w:ascii="仿宋" w:eastAsia="仿宋" w:hAnsi="仿宋" w:cs="Times New Roman"/>
                <w:b/>
                <w:bCs/>
                <w:kern w:val="0"/>
                <w:sz w:val="24"/>
                <w:szCs w:val="24"/>
              </w:rPr>
              <w:t>环境信访问题为：</w:t>
            </w:r>
            <w:r w:rsidR="00C8716E" w:rsidRPr="00C8716E">
              <w:rPr>
                <w:rFonts w:ascii="仿宋" w:eastAsia="仿宋" w:hAnsi="仿宋" w:cs="Times New Roman" w:hint="eastAsia"/>
                <w:b/>
                <w:bCs/>
                <w:kern w:val="0"/>
                <w:szCs w:val="21"/>
              </w:rPr>
              <w:t>（</w:t>
            </w:r>
            <w:r w:rsidR="00C8716E" w:rsidRPr="00C8716E">
              <w:rPr>
                <w:rFonts w:ascii="仿宋" w:eastAsia="仿宋" w:hAnsi="仿宋" w:cs="Times New Roman" w:hint="eastAsia"/>
                <w:bCs/>
                <w:kern w:val="0"/>
                <w:szCs w:val="21"/>
              </w:rPr>
              <w:t>1）罗山县产业集聚区六家电子工业厂年产危险废物（压滤后污泥）200多吨，交南阳一家危废处理公司不足30吨，其余让龙山乡双店一农民夜晚400元一吨拉走，随意倾倒周边河道、池塘、荒坡地里，严重污染环境。（2）罗山县产业集聚区三分之一企业没进行</w:t>
            </w:r>
            <w:r w:rsidR="00C8716E" w:rsidRPr="00C8716E">
              <w:rPr>
                <w:rFonts w:ascii="仿宋" w:eastAsia="仿宋" w:hAnsi="仿宋" w:cs="Times New Roman" w:hint="eastAsia"/>
                <w:bCs/>
                <w:kern w:val="0"/>
                <w:szCs w:val="21"/>
              </w:rPr>
              <w:lastRenderedPageBreak/>
              <w:t>环保验收或环保设施不到位或不正常运行。罗山县环保局对全亿热传有限公司违法行为处罚30万，罚单如同废纸。督察组来了他们以没有验收不进行生产，走后他们又正常生产。</w:t>
            </w:r>
          </w:p>
          <w:p w:rsidR="00C72242" w:rsidRPr="002A667B" w:rsidRDefault="00C72242" w:rsidP="00C8716E">
            <w:pPr>
              <w:widowControl/>
              <w:jc w:val="center"/>
              <w:rPr>
                <w:rFonts w:ascii="仿宋" w:eastAsia="仿宋" w:hAnsi="仿宋" w:cs="Times New Roman"/>
                <w:b/>
                <w:bCs/>
                <w:kern w:val="0"/>
                <w:sz w:val="24"/>
                <w:szCs w:val="24"/>
              </w:rPr>
            </w:pPr>
          </w:p>
        </w:tc>
        <w:tc>
          <w:tcPr>
            <w:tcW w:w="1701" w:type="dxa"/>
            <w:tcBorders>
              <w:top w:val="single" w:sz="4" w:space="0" w:color="auto"/>
              <w:left w:val="nil"/>
              <w:bottom w:val="single" w:sz="4" w:space="0" w:color="auto"/>
              <w:right w:val="single" w:sz="4" w:space="0" w:color="auto"/>
            </w:tcBorders>
            <w:vAlign w:val="center"/>
          </w:tcPr>
          <w:p w:rsidR="00C72242" w:rsidRPr="008F08A9" w:rsidRDefault="00406021" w:rsidP="00D6619A">
            <w:pPr>
              <w:widowControl/>
              <w:jc w:val="center"/>
              <w:rPr>
                <w:rFonts w:ascii="仿宋" w:eastAsia="仿宋" w:hAnsi="仿宋" w:cs="Times New Roman"/>
                <w:b/>
                <w:bCs/>
                <w:kern w:val="0"/>
                <w:sz w:val="24"/>
                <w:szCs w:val="24"/>
              </w:rPr>
            </w:pPr>
            <w:r w:rsidRPr="008F08A9">
              <w:rPr>
                <w:rFonts w:ascii="仿宋" w:eastAsia="仿宋" w:hAnsi="仿宋" w:cs="Times New Roman" w:hint="eastAsia"/>
                <w:b/>
                <w:bCs/>
                <w:kern w:val="0"/>
                <w:sz w:val="24"/>
                <w:szCs w:val="24"/>
              </w:rPr>
              <w:lastRenderedPageBreak/>
              <w:t>罗山县</w:t>
            </w:r>
            <w:r w:rsidR="00C8716E">
              <w:rPr>
                <w:rFonts w:ascii="仿宋" w:eastAsia="仿宋" w:hAnsi="仿宋" w:cs="Times New Roman" w:hint="eastAsia"/>
                <w:b/>
                <w:bCs/>
                <w:kern w:val="0"/>
                <w:sz w:val="24"/>
                <w:szCs w:val="24"/>
              </w:rPr>
              <w:t>产业园区</w:t>
            </w:r>
            <w:r w:rsidR="00F2531B">
              <w:rPr>
                <w:rFonts w:ascii="仿宋" w:eastAsia="仿宋" w:hAnsi="仿宋" w:cs="Times New Roman" w:hint="eastAsia"/>
                <w:b/>
                <w:bCs/>
                <w:kern w:val="0"/>
                <w:sz w:val="24"/>
                <w:szCs w:val="24"/>
              </w:rPr>
              <w:t>、环保局</w:t>
            </w:r>
          </w:p>
        </w:tc>
        <w:tc>
          <w:tcPr>
            <w:tcW w:w="4536" w:type="dxa"/>
            <w:tcBorders>
              <w:top w:val="single" w:sz="4" w:space="0" w:color="auto"/>
              <w:left w:val="nil"/>
              <w:bottom w:val="single" w:sz="4" w:space="0" w:color="auto"/>
              <w:right w:val="single" w:sz="4" w:space="0" w:color="auto"/>
            </w:tcBorders>
            <w:vAlign w:val="center"/>
          </w:tcPr>
          <w:p w:rsidR="00C8716E" w:rsidRPr="00C8716E" w:rsidRDefault="00C8716E" w:rsidP="00C8716E">
            <w:pPr>
              <w:ind w:firstLineChars="200" w:firstLine="300"/>
              <w:rPr>
                <w:rFonts w:ascii="仿宋_GB2312" w:eastAsia="仿宋_GB2312" w:hAnsi="仿宋_GB2312" w:cs="仿宋_GB2312" w:hint="eastAsia"/>
                <w:sz w:val="15"/>
                <w:szCs w:val="15"/>
              </w:rPr>
            </w:pPr>
            <w:r w:rsidRPr="00C8716E">
              <w:rPr>
                <w:rFonts w:ascii="仿宋_GB2312" w:eastAsia="仿宋_GB2312" w:hAnsi="仿宋_GB2312" w:cs="仿宋_GB2312" w:hint="eastAsia"/>
                <w:sz w:val="15"/>
                <w:szCs w:val="15"/>
              </w:rPr>
              <w:t>1、举报反映“罗山县产业集聚区六家电子工业厂年产危险废物（压滤后污泥）200多吨，交南阳一家危废处理公司不足30吨，其余让龙山乡双店一农民夜晚400元一吨拉走，随意倾倒周边河道、池塘、荒坡地里，严重污染环境”问题不属实。</w:t>
            </w:r>
          </w:p>
          <w:p w:rsidR="00C8716E" w:rsidRPr="00C8716E" w:rsidRDefault="00C8716E" w:rsidP="00C8716E">
            <w:pPr>
              <w:ind w:firstLineChars="200" w:firstLine="300"/>
              <w:rPr>
                <w:rFonts w:ascii="仿宋_GB2312" w:eastAsia="仿宋_GB2312" w:hAnsi="仿宋_GB2312" w:cs="仿宋_GB2312" w:hint="eastAsia"/>
                <w:sz w:val="15"/>
                <w:szCs w:val="15"/>
              </w:rPr>
            </w:pPr>
            <w:r w:rsidRPr="00C8716E">
              <w:rPr>
                <w:rFonts w:ascii="仿宋_GB2312" w:eastAsia="仿宋_GB2312" w:hAnsi="仿宋_GB2312" w:cs="仿宋_GB2312" w:hint="eastAsia"/>
                <w:sz w:val="15"/>
                <w:szCs w:val="15"/>
              </w:rPr>
              <w:t>经查，产业集聚区产生污泥的电子企业一共只有5家（同裕电子、鼎丰电子、金辉电子、鑫盛电子、全亿电子），其中全亿未投产。与举报所说的六家电子厂不相符。5家企业均与河南中环信环保科技股份有限公司签订了危险废物处置服务合同。</w:t>
            </w:r>
          </w:p>
          <w:p w:rsidR="00C8716E" w:rsidRPr="00C8716E" w:rsidRDefault="00C8716E" w:rsidP="00C8716E">
            <w:pPr>
              <w:ind w:firstLineChars="200" w:firstLine="300"/>
              <w:rPr>
                <w:rFonts w:ascii="仿宋_GB2312" w:eastAsia="仿宋_GB2312" w:hAnsi="仿宋_GB2312" w:cs="仿宋_GB2312" w:hint="eastAsia"/>
                <w:sz w:val="15"/>
                <w:szCs w:val="15"/>
              </w:rPr>
            </w:pPr>
            <w:r w:rsidRPr="00C8716E">
              <w:rPr>
                <w:rFonts w:ascii="仿宋_GB2312" w:eastAsia="仿宋_GB2312" w:hAnsi="仿宋_GB2312" w:cs="仿宋_GB2312" w:hint="eastAsia"/>
                <w:sz w:val="15"/>
                <w:szCs w:val="15"/>
              </w:rPr>
              <w:t>经调查，（1）同裕电子每月产生的污泥量约4.2吨，同裕电子于2018年1月正式投产，至今10个月时间，总共产生的污泥总量在42吨左右，目前这些污泥全部囤积在厂内危废仓库中，没有向外流出。（2）鼎丰电子于2018年4月试产以来，每月的污泥量在0.5吨左右，至目前所有产生的污泥在3吨左右，全部在固废暂存间暂存，没有发生污泥非法外流。（3）鑫盛电子产生的污泥量很</w:t>
            </w:r>
            <w:r w:rsidRPr="00C8716E">
              <w:rPr>
                <w:rFonts w:ascii="仿宋_GB2312" w:eastAsia="仿宋_GB2312" w:hAnsi="仿宋_GB2312" w:cs="仿宋_GB2312" w:hint="eastAsia"/>
                <w:sz w:val="15"/>
                <w:szCs w:val="15"/>
              </w:rPr>
              <w:lastRenderedPageBreak/>
              <w:t>小，每年在0.8吨左右，加上今年9月份以前没有生产，至今没有清理污泥，污泥还在池中，更没有发生污泥非法外流。（4）金辉电子产生的污泥量也很小，每年在0.8吨左右，今年的生产也不正常，至今没有清理污泥，更没有发生污泥非法外流。（5）全亿电子没有投产，各项环评手续正在办理中，没有产生污泥。</w:t>
            </w:r>
          </w:p>
          <w:p w:rsidR="00C8716E" w:rsidRPr="00C8716E" w:rsidRDefault="00C8716E" w:rsidP="00C8716E">
            <w:pPr>
              <w:ind w:firstLineChars="200" w:firstLine="300"/>
              <w:rPr>
                <w:rFonts w:ascii="仿宋_GB2312" w:eastAsia="仿宋_GB2312" w:hAnsi="仿宋_GB2312" w:cs="仿宋_GB2312" w:hint="eastAsia"/>
                <w:sz w:val="15"/>
                <w:szCs w:val="15"/>
              </w:rPr>
            </w:pPr>
            <w:r w:rsidRPr="00C8716E">
              <w:rPr>
                <w:rFonts w:ascii="仿宋_GB2312" w:eastAsia="仿宋_GB2312" w:hAnsi="仿宋_GB2312" w:cs="仿宋_GB2312" w:hint="eastAsia"/>
                <w:sz w:val="15"/>
                <w:szCs w:val="15"/>
              </w:rPr>
              <w:t>综上所述，罗山县产业集聚区共有5家产生污泥的电子企业，每年产生的污泥总量在50吨以下，没有举报所反映的200吨，5家企业都与河南中环信环保科技股份有限公司签订了处置合同，由于量少，目前，该公司没来罗山县清运，所有危废都储存在企业的危废仓库中，按照正规的程序处置危险废物，至今没有发生污泥非法外运的事情，更没有污泥随意倾倒污染环境的事件发生。</w:t>
            </w:r>
          </w:p>
          <w:p w:rsidR="00C8716E" w:rsidRPr="00C8716E" w:rsidRDefault="00C8716E" w:rsidP="00C8716E">
            <w:pPr>
              <w:ind w:firstLineChars="200" w:firstLine="300"/>
              <w:rPr>
                <w:rFonts w:ascii="仿宋_GB2312" w:eastAsia="仿宋_GB2312" w:hAnsi="仿宋_GB2312" w:cs="仿宋_GB2312" w:hint="eastAsia"/>
                <w:sz w:val="15"/>
                <w:szCs w:val="15"/>
              </w:rPr>
            </w:pPr>
            <w:r w:rsidRPr="00C8716E">
              <w:rPr>
                <w:rFonts w:ascii="仿宋_GB2312" w:eastAsia="仿宋_GB2312" w:hAnsi="仿宋_GB2312" w:cs="仿宋_GB2312" w:hint="eastAsia"/>
                <w:sz w:val="15"/>
                <w:szCs w:val="15"/>
              </w:rPr>
              <w:t>举报反映“罗山县产业集聚区三分之一企业没进行环保验收或环保设施不到位或不正常运行” 问题不属实。经查，罗山县产业集聚区共有52家企业，其中仅有淮河林业等5家企业因技术改造环保设施暂未验收，其余企业环保设施均已验收并正常运转。</w:t>
            </w:r>
          </w:p>
          <w:p w:rsidR="00C8716E" w:rsidRPr="00C8716E" w:rsidRDefault="00C8716E" w:rsidP="00C8716E">
            <w:pPr>
              <w:ind w:firstLineChars="200" w:firstLine="300"/>
              <w:rPr>
                <w:rFonts w:ascii="仿宋_GB2312" w:eastAsia="仿宋_GB2312" w:hAnsi="仿宋_GB2312" w:cs="仿宋_GB2312" w:hint="eastAsia"/>
                <w:sz w:val="15"/>
                <w:szCs w:val="15"/>
              </w:rPr>
            </w:pPr>
            <w:r w:rsidRPr="00C8716E">
              <w:rPr>
                <w:rFonts w:ascii="仿宋_GB2312" w:eastAsia="仿宋_GB2312" w:hAnsi="仿宋_GB2312" w:cs="仿宋_GB2312" w:hint="eastAsia"/>
                <w:sz w:val="15"/>
                <w:szCs w:val="15"/>
              </w:rPr>
              <w:t>举报反映的“罗山县环保局对全亿热传有限公司违法行为处罚30万，罚单如同废纸”问题不属实。“全亿热传有限公司”实应为信阳全亿热传科技有限公司。2018年6月13日，罗山县环保局执法人员现场检查发现该公司未建设配套的污染防治设施，擅自投入生产。于2018年7月13日，依法向该公司下达了行政处罚决定（罗环罚决字〔2018〕第129号），责令该企业停止生产，罚款30万元。目前，该公司已停产，但尚未缴纳罚款。</w:t>
            </w:r>
          </w:p>
          <w:p w:rsidR="00C8716E" w:rsidRPr="00C8716E" w:rsidRDefault="00C8716E" w:rsidP="00C8716E">
            <w:pPr>
              <w:ind w:firstLineChars="200" w:firstLine="300"/>
              <w:rPr>
                <w:rFonts w:ascii="仿宋_GB2312" w:eastAsia="仿宋_GB2312" w:hAnsi="仿宋_GB2312" w:cs="仿宋_GB2312" w:hint="eastAsia"/>
                <w:sz w:val="15"/>
                <w:szCs w:val="15"/>
              </w:rPr>
            </w:pPr>
            <w:r w:rsidRPr="00C8716E">
              <w:rPr>
                <w:rFonts w:ascii="仿宋_GB2312" w:eastAsia="仿宋_GB2312" w:hAnsi="仿宋_GB2312" w:cs="仿宋_GB2312" w:hint="eastAsia"/>
                <w:sz w:val="15"/>
                <w:szCs w:val="15"/>
              </w:rPr>
              <w:t>举报人反映的“督查组来了他们以没有验收不进行生产，走后他们又正常生产”问题不属实。经查，厂区仅有门卫看守设备，无生产迹象。</w:t>
            </w:r>
          </w:p>
          <w:p w:rsidR="00C72242" w:rsidRPr="002A667B" w:rsidRDefault="00C72242" w:rsidP="00C8716E">
            <w:pPr>
              <w:ind w:firstLineChars="200" w:firstLine="361"/>
              <w:rPr>
                <w:rFonts w:ascii="仿宋" w:eastAsia="仿宋" w:hAnsi="仿宋" w:cs="Times New Roman"/>
                <w:b/>
                <w:bCs/>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D6619A" w:rsidRPr="00C8716E" w:rsidRDefault="00C8716E" w:rsidP="00D6619A">
            <w:pPr>
              <w:spacing w:line="600" w:lineRule="exact"/>
              <w:rPr>
                <w:rFonts w:ascii="仿宋" w:eastAsia="仿宋" w:hAnsi="仿宋" w:cs="仿宋"/>
                <w:b/>
                <w:sz w:val="18"/>
                <w:szCs w:val="18"/>
              </w:rPr>
            </w:pPr>
            <w:r w:rsidRPr="00C8716E">
              <w:rPr>
                <w:rFonts w:ascii="仿宋" w:eastAsia="仿宋" w:hAnsi="仿宋" w:cs="仿宋" w:hint="eastAsia"/>
                <w:b/>
                <w:sz w:val="18"/>
                <w:szCs w:val="18"/>
              </w:rPr>
              <w:lastRenderedPageBreak/>
              <w:t>不属实</w:t>
            </w:r>
          </w:p>
          <w:p w:rsidR="00C72242" w:rsidRPr="008F08A9" w:rsidRDefault="00C72242" w:rsidP="008F08A9">
            <w:pPr>
              <w:rPr>
                <w:rFonts w:ascii="仿宋" w:eastAsia="仿宋" w:hAnsi="仿宋" w:cs="Times New Roman"/>
                <w:b/>
                <w:bCs/>
                <w:kern w:val="0"/>
                <w:sz w:val="18"/>
                <w:szCs w:val="18"/>
              </w:rPr>
            </w:pPr>
          </w:p>
        </w:tc>
        <w:tc>
          <w:tcPr>
            <w:tcW w:w="2446" w:type="dxa"/>
            <w:tcBorders>
              <w:top w:val="single" w:sz="4" w:space="0" w:color="auto"/>
              <w:left w:val="nil"/>
              <w:bottom w:val="single" w:sz="4" w:space="0" w:color="auto"/>
              <w:right w:val="single" w:sz="4" w:space="0" w:color="auto"/>
            </w:tcBorders>
            <w:vAlign w:val="center"/>
          </w:tcPr>
          <w:p w:rsidR="00C8716E" w:rsidRPr="00C8716E" w:rsidRDefault="00C8716E" w:rsidP="00C8716E">
            <w:pPr>
              <w:spacing w:line="540" w:lineRule="exact"/>
              <w:ind w:firstLineChars="200" w:firstLine="360"/>
              <w:rPr>
                <w:rFonts w:ascii="仿宋_GB2312" w:eastAsia="仿宋_GB2312" w:hAnsi="仿宋_GB2312" w:cs="仿宋_GB2312" w:hint="eastAsia"/>
                <w:sz w:val="18"/>
                <w:szCs w:val="18"/>
              </w:rPr>
            </w:pPr>
            <w:r w:rsidRPr="00C8716E">
              <w:rPr>
                <w:rFonts w:ascii="仿宋_GB2312" w:eastAsia="仿宋_GB2312" w:hAnsi="仿宋_GB2312" w:cs="仿宋_GB2312" w:hint="eastAsia"/>
                <w:sz w:val="18"/>
                <w:szCs w:val="18"/>
              </w:rPr>
              <w:t>1、责令企业加强管理，确保依法依规处置危险废物。</w:t>
            </w:r>
          </w:p>
          <w:p w:rsidR="00C8716E" w:rsidRPr="00C8716E" w:rsidRDefault="00C8716E" w:rsidP="00C8716E">
            <w:pPr>
              <w:spacing w:line="540" w:lineRule="exact"/>
              <w:ind w:firstLineChars="200" w:firstLine="360"/>
              <w:rPr>
                <w:rFonts w:ascii="仿宋_GB2312" w:eastAsia="仿宋_GB2312" w:hAnsi="仿宋_GB2312" w:cs="仿宋_GB2312" w:hint="eastAsia"/>
                <w:sz w:val="18"/>
                <w:szCs w:val="18"/>
              </w:rPr>
            </w:pPr>
            <w:r w:rsidRPr="00C8716E">
              <w:rPr>
                <w:rFonts w:ascii="仿宋_GB2312" w:eastAsia="仿宋_GB2312" w:hAnsi="仿宋_GB2312" w:cs="仿宋_GB2312" w:hint="eastAsia"/>
                <w:sz w:val="18"/>
                <w:szCs w:val="18"/>
              </w:rPr>
              <w:t>2、罗山县环保局责成企业依法缴纳罚款，履行法律义务。逾期将申请法院执行。</w:t>
            </w:r>
          </w:p>
          <w:p w:rsidR="001B3E7B" w:rsidRPr="002A667B" w:rsidRDefault="001B3E7B" w:rsidP="00C8716E">
            <w:pPr>
              <w:ind w:firstLineChars="200" w:firstLine="361"/>
              <w:rPr>
                <w:rFonts w:ascii="仿宋" w:eastAsia="仿宋" w:hAnsi="仿宋" w:cs="Times New Roman"/>
                <w:b/>
                <w:bCs/>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C72242" w:rsidRPr="00ED1C0E" w:rsidRDefault="00C72242" w:rsidP="008F08A9">
            <w:pPr>
              <w:widowControl/>
              <w:jc w:val="center"/>
              <w:rPr>
                <w:rFonts w:ascii="仿宋" w:eastAsia="仿宋" w:hAnsi="仿宋" w:cs="Times New Roman"/>
                <w:b/>
                <w:bCs/>
                <w:kern w:val="0"/>
                <w:sz w:val="28"/>
                <w:szCs w:val="28"/>
              </w:rPr>
            </w:pPr>
          </w:p>
        </w:tc>
      </w:tr>
    </w:tbl>
    <w:p w:rsidR="00C72242" w:rsidRPr="00ED1C0E" w:rsidRDefault="00A40BC7" w:rsidP="008F08A9">
      <w:pPr>
        <w:widowControl/>
        <w:tabs>
          <w:tab w:val="left" w:pos="8210"/>
        </w:tabs>
        <w:ind w:firstLineChars="200" w:firstLine="562"/>
        <w:jc w:val="left"/>
        <w:rPr>
          <w:rFonts w:ascii="仿宋" w:eastAsia="仿宋" w:hAnsi="仿宋" w:cs="Times New Roman"/>
          <w:b/>
          <w:bCs/>
          <w:kern w:val="0"/>
          <w:sz w:val="28"/>
          <w:szCs w:val="28"/>
        </w:rPr>
      </w:pPr>
      <w:bookmarkStart w:id="3" w:name="_GoBack"/>
      <w:bookmarkEnd w:id="3"/>
      <w:r w:rsidRPr="00ED1C0E">
        <w:rPr>
          <w:rFonts w:ascii="仿宋" w:eastAsia="仿宋" w:hAnsi="仿宋" w:cs="Times New Roman"/>
          <w:b/>
          <w:bCs/>
          <w:kern w:val="0"/>
          <w:sz w:val="28"/>
          <w:szCs w:val="28"/>
        </w:rPr>
        <w:lastRenderedPageBreak/>
        <w:tab/>
      </w:r>
    </w:p>
    <w:sectPr w:rsidR="00C72242" w:rsidRPr="00ED1C0E"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9B0" w:rsidRDefault="004F09B0" w:rsidP="001B3E7B">
      <w:r>
        <w:separator/>
      </w:r>
    </w:p>
  </w:endnote>
  <w:endnote w:type="continuationSeparator" w:id="0">
    <w:p w:rsidR="004F09B0" w:rsidRDefault="004F09B0"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9B0" w:rsidRDefault="004F09B0" w:rsidP="001B3E7B">
      <w:r>
        <w:separator/>
      </w:r>
    </w:p>
  </w:footnote>
  <w:footnote w:type="continuationSeparator" w:id="0">
    <w:p w:rsidR="004F09B0" w:rsidRDefault="004F09B0"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173D2"/>
    <w:rsid w:val="00070995"/>
    <w:rsid w:val="00086449"/>
    <w:rsid w:val="000B60DC"/>
    <w:rsid w:val="000B79D5"/>
    <w:rsid w:val="000C1E30"/>
    <w:rsid w:val="000E53A6"/>
    <w:rsid w:val="00112161"/>
    <w:rsid w:val="001818AD"/>
    <w:rsid w:val="00197C46"/>
    <w:rsid w:val="001A3C2B"/>
    <w:rsid w:val="001A6BC5"/>
    <w:rsid w:val="001B3E7B"/>
    <w:rsid w:val="00202E11"/>
    <w:rsid w:val="0025019F"/>
    <w:rsid w:val="002A667B"/>
    <w:rsid w:val="002D644F"/>
    <w:rsid w:val="002D77C6"/>
    <w:rsid w:val="0030102C"/>
    <w:rsid w:val="003871BA"/>
    <w:rsid w:val="00406021"/>
    <w:rsid w:val="00464A69"/>
    <w:rsid w:val="004C648E"/>
    <w:rsid w:val="004D2634"/>
    <w:rsid w:val="004F09B0"/>
    <w:rsid w:val="00545425"/>
    <w:rsid w:val="005814F0"/>
    <w:rsid w:val="00607B7B"/>
    <w:rsid w:val="00610594"/>
    <w:rsid w:val="00662894"/>
    <w:rsid w:val="00667A72"/>
    <w:rsid w:val="00674CEE"/>
    <w:rsid w:val="00687AC6"/>
    <w:rsid w:val="006A7A52"/>
    <w:rsid w:val="00786958"/>
    <w:rsid w:val="00794133"/>
    <w:rsid w:val="007A223E"/>
    <w:rsid w:val="007E34C0"/>
    <w:rsid w:val="0082722D"/>
    <w:rsid w:val="0085059F"/>
    <w:rsid w:val="0087651C"/>
    <w:rsid w:val="008F08A9"/>
    <w:rsid w:val="008F1806"/>
    <w:rsid w:val="008F74AE"/>
    <w:rsid w:val="00900494"/>
    <w:rsid w:val="009041E6"/>
    <w:rsid w:val="00906C81"/>
    <w:rsid w:val="00971A16"/>
    <w:rsid w:val="009D3312"/>
    <w:rsid w:val="00A0163D"/>
    <w:rsid w:val="00A4061B"/>
    <w:rsid w:val="00A40BC7"/>
    <w:rsid w:val="00C135DE"/>
    <w:rsid w:val="00C72242"/>
    <w:rsid w:val="00C8716E"/>
    <w:rsid w:val="00CD464B"/>
    <w:rsid w:val="00CE0719"/>
    <w:rsid w:val="00D06206"/>
    <w:rsid w:val="00D40D04"/>
    <w:rsid w:val="00D6619A"/>
    <w:rsid w:val="00DA4281"/>
    <w:rsid w:val="00DB377C"/>
    <w:rsid w:val="00DE4156"/>
    <w:rsid w:val="00E11406"/>
    <w:rsid w:val="00E41B09"/>
    <w:rsid w:val="00E952E3"/>
    <w:rsid w:val="00EA6F01"/>
    <w:rsid w:val="00EB54BF"/>
    <w:rsid w:val="00ED1C0E"/>
    <w:rsid w:val="00F02D9D"/>
    <w:rsid w:val="00F2531B"/>
    <w:rsid w:val="00F3526A"/>
    <w:rsid w:val="00F43686"/>
    <w:rsid w:val="00FA0318"/>
    <w:rsid w:val="00FC7223"/>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paragraph" w:styleId="1">
    <w:name w:val="heading 1"/>
    <w:basedOn w:val="a"/>
    <w:next w:val="a"/>
    <w:link w:val="1Char"/>
    <w:uiPriority w:val="6"/>
    <w:qFormat/>
    <w:rsid w:val="008F08A9"/>
    <w:pPr>
      <w:spacing w:line="360" w:lineRule="auto"/>
      <w:jc w:val="center"/>
      <w:outlineLvl w:val="0"/>
    </w:pPr>
    <w:rPr>
      <w:rFonts w:ascii="Calibri" w:eastAsia="黑体" w:hAnsi="Calibri" w:cs="Times New Roman"/>
      <w:color w:val="000000"/>
      <w:kern w:val="0"/>
      <w:sz w:val="4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Title"/>
    <w:basedOn w:val="a"/>
    <w:next w:val="a"/>
    <w:link w:val="Char1"/>
    <w:qFormat/>
    <w:rsid w:val="0082722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82722D"/>
    <w:rPr>
      <w:rFonts w:asciiTheme="majorHAnsi" w:eastAsia="宋体" w:hAnsiTheme="majorHAnsi" w:cstheme="majorBidi"/>
      <w:b/>
      <w:bCs/>
      <w:kern w:val="2"/>
      <w:sz w:val="32"/>
      <w:szCs w:val="32"/>
    </w:rPr>
  </w:style>
  <w:style w:type="character" w:customStyle="1" w:styleId="1Char">
    <w:name w:val="标题 1 Char"/>
    <w:basedOn w:val="a0"/>
    <w:link w:val="1"/>
    <w:uiPriority w:val="6"/>
    <w:rsid w:val="008F08A9"/>
    <w:rPr>
      <w:rFonts w:ascii="Calibri" w:eastAsia="黑体" w:hAnsi="Calibri" w:cs="Times New Roman"/>
      <w:color w:val="000000"/>
      <w:sz w:val="40"/>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4</cp:revision>
  <cp:lastPrinted>2018-10-31T06:53:00Z</cp:lastPrinted>
  <dcterms:created xsi:type="dcterms:W3CDTF">2018-11-08T06:25:00Z</dcterms:created>
  <dcterms:modified xsi:type="dcterms:W3CDTF">2018-11-08T06:31:00Z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